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61" w:rsidRDefault="002D2261" w:rsidP="00244D30">
      <w:pPr>
        <w:autoSpaceDE w:val="0"/>
        <w:autoSpaceDN w:val="0"/>
        <w:adjustRightInd w:val="0"/>
        <w:ind w:left="-567" w:right="-568"/>
        <w:jc w:val="center"/>
        <w:rPr>
          <w:b/>
          <w:bCs/>
          <w:sz w:val="28"/>
          <w:szCs w:val="28"/>
        </w:rPr>
      </w:pPr>
    </w:p>
    <w:p w:rsidR="004B5F99" w:rsidRDefault="004B5F99"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4B5F99" w:rsidRDefault="004B5F99"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83840" w:rsidRPr="00A114B6" w:rsidRDefault="00883840" w:rsidP="00564289">
      <w:pPr>
        <w:autoSpaceDE w:val="0"/>
        <w:autoSpaceDN w:val="0"/>
        <w:adjustRightInd w:val="0"/>
        <w:spacing w:line="300" w:lineRule="atLeast"/>
        <w:ind w:left="794"/>
        <w:jc w:val="both"/>
        <w:rPr>
          <w:b/>
          <w:sz w:val="22"/>
          <w:szCs w:val="22"/>
        </w:rPr>
      </w:pPr>
      <w:r w:rsidRPr="00A114B6">
        <w:rPr>
          <w:sz w:val="22"/>
          <w:szCs w:val="22"/>
        </w:rPr>
        <w:t>Assunto</w:t>
      </w:r>
      <w:r w:rsidRPr="00027E64">
        <w:rPr>
          <w:sz w:val="22"/>
          <w:szCs w:val="22"/>
        </w:rPr>
        <w:t>:</w:t>
      </w:r>
      <w:r w:rsidR="00016A4D">
        <w:rPr>
          <w:b/>
          <w:sz w:val="22"/>
          <w:szCs w:val="22"/>
        </w:rPr>
        <w:t xml:space="preserve"> </w:t>
      </w:r>
      <w:r w:rsidR="00564289">
        <w:rPr>
          <w:b/>
          <w:sz w:val="22"/>
          <w:szCs w:val="22"/>
        </w:rPr>
        <w:t>Reforma</w:t>
      </w:r>
      <w:r w:rsidR="0063796A" w:rsidRPr="004B5F99">
        <w:rPr>
          <w:b/>
          <w:sz w:val="22"/>
          <w:szCs w:val="22"/>
        </w:rPr>
        <w:t>.</w:t>
      </w:r>
    </w:p>
    <w:p w:rsidR="00C73784" w:rsidRDefault="00883840" w:rsidP="00C73784">
      <w:pPr>
        <w:autoSpaceDE w:val="0"/>
        <w:autoSpaceDN w:val="0"/>
        <w:adjustRightInd w:val="0"/>
        <w:spacing w:line="300" w:lineRule="atLeast"/>
        <w:ind w:left="794"/>
        <w:jc w:val="both"/>
        <w:rPr>
          <w:b/>
          <w:sz w:val="22"/>
          <w:szCs w:val="22"/>
        </w:rPr>
      </w:pPr>
      <w:r w:rsidRPr="00A114B6">
        <w:rPr>
          <w:sz w:val="22"/>
          <w:szCs w:val="22"/>
        </w:rPr>
        <w:t>Unidade:</w:t>
      </w:r>
      <w:r w:rsidR="00016A4D">
        <w:rPr>
          <w:sz w:val="22"/>
          <w:szCs w:val="22"/>
        </w:rPr>
        <w:t xml:space="preserve"> </w:t>
      </w:r>
      <w:r w:rsidR="00564289" w:rsidRPr="00564289">
        <w:rPr>
          <w:b/>
          <w:sz w:val="22"/>
          <w:szCs w:val="22"/>
        </w:rPr>
        <w:t xml:space="preserve">Colégio </w:t>
      </w:r>
      <w:r w:rsidR="00564289">
        <w:rPr>
          <w:b/>
          <w:sz w:val="22"/>
          <w:szCs w:val="22"/>
        </w:rPr>
        <w:t>E</w:t>
      </w:r>
      <w:r w:rsidR="00564289" w:rsidRPr="00564289">
        <w:rPr>
          <w:b/>
          <w:sz w:val="22"/>
          <w:szCs w:val="22"/>
        </w:rPr>
        <w:t xml:space="preserve">stadual </w:t>
      </w:r>
      <w:r w:rsidR="00564289">
        <w:rPr>
          <w:b/>
          <w:sz w:val="22"/>
          <w:szCs w:val="22"/>
        </w:rPr>
        <w:t>F</w:t>
      </w:r>
      <w:r w:rsidR="00564289" w:rsidRPr="00564289">
        <w:rPr>
          <w:b/>
          <w:sz w:val="22"/>
          <w:szCs w:val="22"/>
        </w:rPr>
        <w:t xml:space="preserve">arnese </w:t>
      </w:r>
      <w:r w:rsidR="00564289">
        <w:rPr>
          <w:b/>
          <w:sz w:val="22"/>
          <w:szCs w:val="22"/>
        </w:rPr>
        <w:t>R</w:t>
      </w:r>
      <w:r w:rsidR="00564289" w:rsidRPr="00564289">
        <w:rPr>
          <w:b/>
          <w:sz w:val="22"/>
          <w:szCs w:val="22"/>
        </w:rPr>
        <w:t>abelo</w:t>
      </w:r>
      <w:r w:rsidR="00564289">
        <w:rPr>
          <w:b/>
          <w:sz w:val="22"/>
          <w:szCs w:val="22"/>
        </w:rPr>
        <w:t>.</w:t>
      </w:r>
    </w:p>
    <w:p w:rsidR="0034158A" w:rsidRPr="00C73784" w:rsidRDefault="00883840" w:rsidP="00C73784">
      <w:pPr>
        <w:autoSpaceDE w:val="0"/>
        <w:autoSpaceDN w:val="0"/>
        <w:adjustRightInd w:val="0"/>
        <w:spacing w:line="300" w:lineRule="atLeast"/>
        <w:ind w:left="794"/>
        <w:jc w:val="both"/>
        <w:rPr>
          <w:b/>
          <w:sz w:val="22"/>
          <w:szCs w:val="22"/>
        </w:rPr>
      </w:pPr>
      <w:r w:rsidRPr="00A114B6">
        <w:rPr>
          <w:sz w:val="22"/>
          <w:szCs w:val="22"/>
        </w:rPr>
        <w:t>Endereço:</w:t>
      </w:r>
      <w:r w:rsidR="00973194">
        <w:rPr>
          <w:sz w:val="22"/>
          <w:szCs w:val="22"/>
        </w:rPr>
        <w:t xml:space="preserve"> </w:t>
      </w:r>
      <w:r w:rsidR="00564289" w:rsidRPr="00564289">
        <w:rPr>
          <w:b/>
          <w:sz w:val="22"/>
          <w:szCs w:val="22"/>
        </w:rPr>
        <w:t xml:space="preserve">Rua </w:t>
      </w:r>
      <w:r w:rsidR="00564289">
        <w:rPr>
          <w:b/>
          <w:sz w:val="22"/>
          <w:szCs w:val="22"/>
        </w:rPr>
        <w:t>D</w:t>
      </w:r>
      <w:r w:rsidR="00564289" w:rsidRPr="00564289">
        <w:rPr>
          <w:b/>
          <w:sz w:val="22"/>
          <w:szCs w:val="22"/>
        </w:rPr>
        <w:t xml:space="preserve">ionísio </w:t>
      </w:r>
      <w:r w:rsidR="00564289">
        <w:rPr>
          <w:b/>
          <w:sz w:val="22"/>
          <w:szCs w:val="22"/>
        </w:rPr>
        <w:t>J</w:t>
      </w:r>
      <w:r w:rsidR="00564289" w:rsidRPr="00564289">
        <w:rPr>
          <w:b/>
          <w:sz w:val="22"/>
          <w:szCs w:val="22"/>
        </w:rPr>
        <w:t xml:space="preserve">osé </w:t>
      </w:r>
      <w:r w:rsidR="00564289">
        <w:rPr>
          <w:b/>
          <w:sz w:val="22"/>
          <w:szCs w:val="22"/>
        </w:rPr>
        <w:t>L</w:t>
      </w:r>
      <w:r w:rsidR="00564289" w:rsidRPr="00564289">
        <w:rPr>
          <w:b/>
          <w:sz w:val="22"/>
          <w:szCs w:val="22"/>
        </w:rPr>
        <w:t xml:space="preserve">opes, s/nº - </w:t>
      </w:r>
      <w:r w:rsidR="00564289">
        <w:rPr>
          <w:b/>
          <w:sz w:val="22"/>
          <w:szCs w:val="22"/>
        </w:rPr>
        <w:t>C</w:t>
      </w:r>
      <w:r w:rsidR="00564289" w:rsidRPr="00564289">
        <w:rPr>
          <w:b/>
          <w:sz w:val="22"/>
          <w:szCs w:val="22"/>
        </w:rPr>
        <w:t xml:space="preserve">entro - </w:t>
      </w:r>
      <w:r w:rsidR="00564289">
        <w:rPr>
          <w:b/>
          <w:sz w:val="22"/>
          <w:szCs w:val="22"/>
        </w:rPr>
        <w:t>D</w:t>
      </w:r>
      <w:r w:rsidR="00564289" w:rsidRPr="00564289">
        <w:rPr>
          <w:b/>
          <w:sz w:val="22"/>
          <w:szCs w:val="22"/>
        </w:rPr>
        <w:t xml:space="preserve">istrito de </w:t>
      </w:r>
      <w:proofErr w:type="spellStart"/>
      <w:r w:rsidR="00564289">
        <w:rPr>
          <w:b/>
          <w:sz w:val="22"/>
          <w:szCs w:val="22"/>
        </w:rPr>
        <w:t>D</w:t>
      </w:r>
      <w:r w:rsidR="00564289" w:rsidRPr="00564289">
        <w:rPr>
          <w:b/>
          <w:sz w:val="22"/>
          <w:szCs w:val="22"/>
        </w:rPr>
        <w:t>iolândia</w:t>
      </w:r>
      <w:proofErr w:type="spellEnd"/>
      <w:r w:rsidR="00564289">
        <w:rPr>
          <w:b/>
          <w:sz w:val="22"/>
          <w:szCs w:val="22"/>
        </w:rPr>
        <w:t>.</w:t>
      </w:r>
    </w:p>
    <w:p w:rsidR="00386F1E" w:rsidRDefault="00386F1E" w:rsidP="00D467C7">
      <w:pPr>
        <w:autoSpaceDE w:val="0"/>
        <w:autoSpaceDN w:val="0"/>
        <w:adjustRightInd w:val="0"/>
        <w:spacing w:line="300" w:lineRule="atLeast"/>
        <w:ind w:left="794"/>
        <w:jc w:val="both"/>
        <w:rPr>
          <w:sz w:val="22"/>
          <w:szCs w:val="22"/>
        </w:rPr>
      </w:pPr>
      <w:r>
        <w:rPr>
          <w:sz w:val="22"/>
          <w:szCs w:val="22"/>
        </w:rPr>
        <w:t xml:space="preserve">Município: </w:t>
      </w:r>
      <w:r w:rsidR="00C73784" w:rsidRPr="00C73784">
        <w:rPr>
          <w:b/>
          <w:sz w:val="22"/>
          <w:szCs w:val="22"/>
        </w:rPr>
        <w:t>Itapuranga</w:t>
      </w:r>
      <w:r w:rsidR="008C53A6">
        <w:rPr>
          <w:b/>
          <w:sz w:val="22"/>
          <w:szCs w:val="22"/>
        </w:rPr>
        <w:t>-</w:t>
      </w:r>
      <w:r w:rsidR="00C73784" w:rsidRPr="00C73784">
        <w:rPr>
          <w:b/>
          <w:sz w:val="22"/>
          <w:szCs w:val="22"/>
        </w:rPr>
        <w:t>G</w:t>
      </w:r>
      <w:r w:rsidR="00C73784">
        <w:rPr>
          <w:b/>
          <w:sz w:val="22"/>
          <w:szCs w:val="22"/>
        </w:rPr>
        <w:t>O.</w:t>
      </w:r>
    </w:p>
    <w:p w:rsidR="00386F1E" w:rsidRPr="0034158A" w:rsidRDefault="00386F1E" w:rsidP="00D467C7">
      <w:pPr>
        <w:autoSpaceDE w:val="0"/>
        <w:autoSpaceDN w:val="0"/>
        <w:adjustRightInd w:val="0"/>
        <w:spacing w:line="300" w:lineRule="atLeast"/>
        <w:ind w:left="794"/>
        <w:jc w:val="both"/>
        <w:rPr>
          <w:b/>
          <w:sz w:val="22"/>
          <w:szCs w:val="22"/>
        </w:rPr>
      </w:pPr>
      <w:r>
        <w:rPr>
          <w:sz w:val="22"/>
          <w:szCs w:val="22"/>
        </w:rPr>
        <w:t xml:space="preserve">Coordenação Regional de Educação – CRE: </w:t>
      </w:r>
      <w:r w:rsidR="00C73784" w:rsidRPr="00C73784">
        <w:rPr>
          <w:b/>
          <w:sz w:val="22"/>
          <w:szCs w:val="22"/>
        </w:rPr>
        <w:t>Itapuranga</w:t>
      </w:r>
      <w:r w:rsidR="0034158A">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AF4F9A" w:rsidRDefault="00AF4F9A" w:rsidP="00AF4F9A">
      <w:pPr>
        <w:autoSpaceDE w:val="0"/>
        <w:autoSpaceDN w:val="0"/>
        <w:adjustRightInd w:val="0"/>
        <w:spacing w:line="300" w:lineRule="atLeast"/>
        <w:ind w:left="794"/>
        <w:jc w:val="both"/>
        <w:rPr>
          <w:sz w:val="22"/>
          <w:szCs w:val="22"/>
        </w:rPr>
      </w:pPr>
      <w:r>
        <w:rPr>
          <w:sz w:val="22"/>
          <w:szCs w:val="22"/>
        </w:rPr>
        <w:t>A presente contratação justifica-se devido à necessidade de haver locais mais adequados na unidade escolar que possibilitem a realização de todas as atividades pedagógicas necessárias. Para viabilizar o recebimento dessas melhorias físicas, há a necessidade de adequação da unidade escolar com relação aos locais de atividade esportiva.</w:t>
      </w:r>
    </w:p>
    <w:p w:rsidR="005F53D4" w:rsidRDefault="005F53D4" w:rsidP="005F53D4">
      <w:pPr>
        <w:autoSpaceDE w:val="0"/>
        <w:autoSpaceDN w:val="0"/>
        <w:adjustRightInd w:val="0"/>
        <w:spacing w:line="300" w:lineRule="atLeast"/>
        <w:ind w:left="794"/>
        <w:jc w:val="both"/>
        <w:rPr>
          <w:sz w:val="22"/>
          <w:szCs w:val="22"/>
        </w:rPr>
      </w:pPr>
      <w:r w:rsidRPr="00120B25">
        <w:rPr>
          <w:sz w:val="22"/>
          <w:szCs w:val="22"/>
        </w:rPr>
        <w:t>A prática esportiva nas escolas é essencial para o crescimento físico do indivíduo, sem falar na questão psicológica e social, já que o esporte no contexto educacional trabalha também conceitos como lealdade, a ética, a não discriminação e a competitividade respeitosa.</w:t>
      </w:r>
    </w:p>
    <w:p w:rsidR="005F53D4" w:rsidRPr="00120B25" w:rsidRDefault="005F53D4" w:rsidP="005F53D4">
      <w:pPr>
        <w:autoSpaceDE w:val="0"/>
        <w:autoSpaceDN w:val="0"/>
        <w:adjustRightInd w:val="0"/>
        <w:spacing w:line="300" w:lineRule="atLeast"/>
        <w:ind w:left="794"/>
        <w:jc w:val="both"/>
        <w:rPr>
          <w:sz w:val="22"/>
          <w:szCs w:val="22"/>
        </w:rPr>
      </w:pPr>
      <w:r>
        <w:rPr>
          <w:sz w:val="22"/>
          <w:szCs w:val="22"/>
        </w:rPr>
        <w:t>V</w:t>
      </w:r>
      <w:r w:rsidRPr="00120B25">
        <w:rPr>
          <w:sz w:val="22"/>
          <w:szCs w:val="22"/>
        </w:rPr>
        <w:t>isto que essas atividades são consideradas essenciais,</w:t>
      </w:r>
      <w:r>
        <w:rPr>
          <w:sz w:val="22"/>
          <w:szCs w:val="22"/>
        </w:rPr>
        <w:t xml:space="preserve"> é </w:t>
      </w:r>
      <w:r w:rsidRPr="00120B25">
        <w:rPr>
          <w:sz w:val="22"/>
          <w:szCs w:val="22"/>
        </w:rPr>
        <w:t>de supra importância</w:t>
      </w:r>
      <w:r>
        <w:rPr>
          <w:sz w:val="22"/>
          <w:szCs w:val="22"/>
        </w:rPr>
        <w:t xml:space="preserve"> </w:t>
      </w:r>
      <w:r w:rsidRPr="00120B25">
        <w:rPr>
          <w:sz w:val="22"/>
          <w:szCs w:val="22"/>
        </w:rPr>
        <w:t xml:space="preserve">que </w:t>
      </w:r>
      <w:r>
        <w:rPr>
          <w:sz w:val="22"/>
          <w:szCs w:val="22"/>
        </w:rPr>
        <w:t xml:space="preserve">a unidade escolar </w:t>
      </w:r>
      <w:r w:rsidRPr="00120B25">
        <w:rPr>
          <w:sz w:val="22"/>
          <w:szCs w:val="22"/>
        </w:rPr>
        <w:t xml:space="preserve">tenha um local </w:t>
      </w:r>
      <w:r>
        <w:rPr>
          <w:sz w:val="22"/>
          <w:szCs w:val="22"/>
        </w:rPr>
        <w:t>seguro e compatível</w:t>
      </w:r>
      <w:r w:rsidRPr="00120B25">
        <w:rPr>
          <w:sz w:val="22"/>
          <w:szCs w:val="22"/>
        </w:rPr>
        <w:t>.</w:t>
      </w:r>
      <w:r>
        <w:rPr>
          <w:sz w:val="22"/>
          <w:szCs w:val="22"/>
        </w:rPr>
        <w:t xml:space="preserve"> </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867F90" w:rsidRPr="004C4A6F" w:rsidRDefault="00867F90" w:rsidP="00C34286">
      <w:pPr>
        <w:autoSpaceDE w:val="0"/>
        <w:autoSpaceDN w:val="0"/>
        <w:adjustRightInd w:val="0"/>
        <w:spacing w:line="300" w:lineRule="atLeast"/>
        <w:ind w:left="794"/>
        <w:jc w:val="both"/>
        <w:rPr>
          <w:sz w:val="22"/>
          <w:szCs w:val="22"/>
        </w:rPr>
      </w:pPr>
      <w:r w:rsidRPr="004C4A6F">
        <w:rPr>
          <w:sz w:val="22"/>
          <w:szCs w:val="22"/>
        </w:rPr>
        <w:t xml:space="preserve">A </w:t>
      </w:r>
      <w:r w:rsidR="005F45DE">
        <w:rPr>
          <w:sz w:val="22"/>
          <w:szCs w:val="22"/>
        </w:rPr>
        <w:t>obra</w:t>
      </w:r>
      <w:r w:rsidRPr="004C4A6F">
        <w:rPr>
          <w:sz w:val="22"/>
          <w:szCs w:val="22"/>
        </w:rPr>
        <w:t xml:space="preserve"> a ser executada nesta unidade escolar </w:t>
      </w:r>
      <w:r w:rsidR="005F45DE">
        <w:rPr>
          <w:sz w:val="22"/>
          <w:szCs w:val="22"/>
        </w:rPr>
        <w:t xml:space="preserve">é uma </w:t>
      </w:r>
      <w:r w:rsidR="00786E46">
        <w:rPr>
          <w:sz w:val="22"/>
          <w:szCs w:val="22"/>
        </w:rPr>
        <w:t xml:space="preserve">reforma </w:t>
      </w:r>
      <w:r w:rsidR="00893F07">
        <w:rPr>
          <w:sz w:val="22"/>
          <w:szCs w:val="22"/>
        </w:rPr>
        <w:t xml:space="preserve">que contemplará a quadra </w:t>
      </w:r>
      <w:r w:rsidR="001414C4">
        <w:rPr>
          <w:sz w:val="22"/>
          <w:szCs w:val="22"/>
        </w:rPr>
        <w:t xml:space="preserve">coberta </w:t>
      </w:r>
      <w:r w:rsidR="00893F07">
        <w:rPr>
          <w:sz w:val="22"/>
          <w:szCs w:val="22"/>
        </w:rPr>
        <w:t>e vestiário</w:t>
      </w:r>
      <w:r w:rsidR="00C34286" w:rsidRPr="00031CB6">
        <w:rPr>
          <w:sz w:val="22"/>
          <w:szCs w:val="22"/>
        </w:rPr>
        <w:t>:</w:t>
      </w:r>
    </w:p>
    <w:p w:rsidR="007035DC" w:rsidRDefault="007035DC" w:rsidP="007035DC">
      <w:pPr>
        <w:autoSpaceDE w:val="0"/>
        <w:autoSpaceDN w:val="0"/>
        <w:adjustRightInd w:val="0"/>
        <w:spacing w:line="300" w:lineRule="atLeast"/>
        <w:ind w:left="794"/>
        <w:jc w:val="both"/>
        <w:rPr>
          <w:color w:val="FF0000"/>
          <w:sz w:val="22"/>
          <w:szCs w:val="22"/>
        </w:rPr>
      </w:pPr>
    </w:p>
    <w:p w:rsidR="00867F90" w:rsidRDefault="00867F90" w:rsidP="007035DC">
      <w:pPr>
        <w:autoSpaceDE w:val="0"/>
        <w:autoSpaceDN w:val="0"/>
        <w:adjustRightInd w:val="0"/>
        <w:spacing w:line="300" w:lineRule="atLeast"/>
        <w:ind w:left="794"/>
        <w:jc w:val="both"/>
        <w:rPr>
          <w:color w:val="FF0000"/>
          <w:sz w:val="22"/>
          <w:szCs w:val="22"/>
        </w:rPr>
      </w:pPr>
    </w:p>
    <w:tbl>
      <w:tblPr>
        <w:tblStyle w:val="Tabelacomgrade"/>
        <w:tblW w:w="0" w:type="auto"/>
        <w:tblInd w:w="794" w:type="dxa"/>
        <w:tblLook w:val="04A0" w:firstRow="1" w:lastRow="0" w:firstColumn="1" w:lastColumn="0" w:noHBand="0" w:noVBand="1"/>
      </w:tblPr>
      <w:tblGrid>
        <w:gridCol w:w="3342"/>
        <w:gridCol w:w="5208"/>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4B5F99" w:rsidP="008A20E7">
            <w:pPr>
              <w:adjustRightInd w:val="0"/>
              <w:spacing w:line="300" w:lineRule="atLeast"/>
              <w:jc w:val="center"/>
              <w:rPr>
                <w:rFonts w:ascii="Times New Roman" w:hAnsi="Times New Roman"/>
                <w:color w:val="FF0000"/>
                <w:sz w:val="20"/>
                <w:szCs w:val="20"/>
              </w:rPr>
            </w:pPr>
            <w:r w:rsidRPr="004B5F99">
              <w:rPr>
                <w:rFonts w:ascii="Times New Roman" w:hAnsi="Times New Roman"/>
                <w:sz w:val="20"/>
                <w:szCs w:val="20"/>
              </w:rPr>
              <w:t>REFORMA</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7035DC" w:rsidRDefault="007035DC" w:rsidP="007035DC">
      <w:pPr>
        <w:autoSpaceDE w:val="0"/>
        <w:autoSpaceDN w:val="0"/>
        <w:adjustRightInd w:val="0"/>
        <w:spacing w:line="300" w:lineRule="atLeast"/>
        <w:ind w:left="794"/>
        <w:jc w:val="both"/>
        <w:rPr>
          <w:color w:val="FF0000"/>
          <w:sz w:val="22"/>
          <w:szCs w:val="22"/>
        </w:rPr>
      </w:pPr>
    </w:p>
    <w:p w:rsidR="007035DC" w:rsidRDefault="007035DC" w:rsidP="007035DC">
      <w:pPr>
        <w:autoSpaceDE w:val="0"/>
        <w:autoSpaceDN w:val="0"/>
        <w:adjustRightInd w:val="0"/>
        <w:spacing w:line="300" w:lineRule="atLeast"/>
        <w:ind w:left="794"/>
        <w:jc w:val="both"/>
        <w:rPr>
          <w:color w:val="FF0000"/>
          <w:sz w:val="22"/>
          <w:szCs w:val="22"/>
        </w:rPr>
      </w:pPr>
    </w:p>
    <w:p w:rsidR="00454327" w:rsidRDefault="00454327" w:rsidP="007035DC">
      <w:pPr>
        <w:autoSpaceDE w:val="0"/>
        <w:autoSpaceDN w:val="0"/>
        <w:adjustRightInd w:val="0"/>
        <w:spacing w:line="300" w:lineRule="atLeast"/>
        <w:ind w:left="794"/>
        <w:jc w:val="both"/>
        <w:rPr>
          <w:color w:val="FF0000"/>
          <w:sz w:val="22"/>
          <w:szCs w:val="22"/>
        </w:rPr>
      </w:pPr>
    </w:p>
    <w:p w:rsidR="00454327" w:rsidRDefault="00454327" w:rsidP="007035DC">
      <w:pPr>
        <w:autoSpaceDE w:val="0"/>
        <w:autoSpaceDN w:val="0"/>
        <w:adjustRightInd w:val="0"/>
        <w:spacing w:line="300" w:lineRule="atLeast"/>
        <w:ind w:left="794"/>
        <w:jc w:val="both"/>
        <w:rPr>
          <w:color w:val="FF0000"/>
          <w:sz w:val="22"/>
          <w:szCs w:val="22"/>
        </w:rPr>
      </w:pPr>
    </w:p>
    <w:p w:rsidR="006D18A9" w:rsidRDefault="006D18A9" w:rsidP="007035DC">
      <w:pPr>
        <w:autoSpaceDE w:val="0"/>
        <w:autoSpaceDN w:val="0"/>
        <w:adjustRightInd w:val="0"/>
        <w:spacing w:line="300" w:lineRule="atLeast"/>
        <w:ind w:left="794"/>
        <w:jc w:val="both"/>
        <w:rPr>
          <w:color w:val="FF0000"/>
          <w:sz w:val="22"/>
          <w:szCs w:val="22"/>
        </w:rPr>
      </w:pPr>
    </w:p>
    <w:p w:rsidR="001540F8" w:rsidRPr="00A114B6" w:rsidRDefault="001540F8" w:rsidP="007035DC">
      <w:pPr>
        <w:autoSpaceDE w:val="0"/>
        <w:autoSpaceDN w:val="0"/>
        <w:adjustRightInd w:val="0"/>
        <w:spacing w:line="300" w:lineRule="atLeast"/>
        <w:ind w:left="794"/>
        <w:jc w:val="both"/>
        <w:rPr>
          <w:color w:val="FF0000"/>
          <w:sz w:val="22"/>
          <w:szCs w:val="22"/>
        </w:rPr>
      </w:pPr>
    </w:p>
    <w:p w:rsidR="00991E98" w:rsidRPr="00A114B6" w:rsidRDefault="00991E98"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Pr="00A114B6" w:rsidRDefault="00244D30" w:rsidP="00343306">
      <w:pPr>
        <w:pStyle w:val="PargrafodaLista"/>
        <w:rPr>
          <w:rFonts w:ascii="Times New Roman" w:hAnsi="Times New Roman"/>
          <w:bCs/>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991E98" w:rsidRDefault="00991E98" w:rsidP="00D467C7">
      <w:pPr>
        <w:autoSpaceDE w:val="0"/>
        <w:autoSpaceDN w:val="0"/>
        <w:adjustRightInd w:val="0"/>
        <w:spacing w:line="300" w:lineRule="atLeast"/>
        <w:jc w:val="both"/>
        <w:rPr>
          <w:sz w:val="22"/>
          <w:szCs w:val="22"/>
        </w:rPr>
      </w:pPr>
    </w:p>
    <w:p w:rsidR="00991E98" w:rsidRPr="00A114B6" w:rsidRDefault="00991E98" w:rsidP="00D467C7">
      <w:pPr>
        <w:autoSpaceDE w:val="0"/>
        <w:autoSpaceDN w:val="0"/>
        <w:adjustRightInd w:val="0"/>
        <w:spacing w:line="300" w:lineRule="atLeast"/>
        <w:jc w:val="both"/>
        <w:rPr>
          <w:sz w:val="22"/>
          <w:szCs w:val="22"/>
        </w:rPr>
      </w:pPr>
    </w:p>
    <w:p w:rsidR="00244D30" w:rsidRPr="00A114B6" w:rsidRDefault="00244D30" w:rsidP="00244D30">
      <w:pPr>
        <w:autoSpaceDE w:val="0"/>
        <w:autoSpaceDN w:val="0"/>
        <w:adjustRightInd w:val="0"/>
        <w:jc w:val="both"/>
        <w:rPr>
          <w:b/>
          <w:bCs/>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Pr="00A114B6" w:rsidRDefault="001C53B4"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D420E3" w:rsidRPr="00D420E3" w:rsidRDefault="00D420E3" w:rsidP="00D420E3">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D420E3">
        <w:rPr>
          <w:rFonts w:ascii="Times New Roman" w:hAnsi="Times New Roman"/>
        </w:rPr>
        <w:t>Pintura da Estrutura da Quadra</w:t>
      </w:r>
      <w:r>
        <w:rPr>
          <w:rFonts w:ascii="Times New Roman" w:hAnsi="Times New Roman"/>
        </w:rPr>
        <w:t>;</w:t>
      </w:r>
    </w:p>
    <w:p w:rsidR="00D420E3" w:rsidRPr="00D420E3" w:rsidRDefault="00D420E3" w:rsidP="00D420E3">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D420E3">
        <w:rPr>
          <w:rFonts w:ascii="Times New Roman" w:hAnsi="Times New Roman"/>
        </w:rPr>
        <w:t>Reforma de Piso da Quadra</w:t>
      </w:r>
      <w:r>
        <w:rPr>
          <w:rFonts w:ascii="Times New Roman" w:hAnsi="Times New Roman"/>
        </w:rPr>
        <w:t>;</w:t>
      </w:r>
    </w:p>
    <w:p w:rsidR="00D420E3" w:rsidRPr="00D420E3" w:rsidRDefault="00D420E3" w:rsidP="00D420E3">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D420E3">
        <w:rPr>
          <w:rFonts w:ascii="Times New Roman" w:hAnsi="Times New Roman"/>
        </w:rPr>
        <w:t>Pintura da Mureta da Arquibancada e Palco</w:t>
      </w:r>
      <w:r>
        <w:rPr>
          <w:rFonts w:ascii="Times New Roman" w:hAnsi="Times New Roman"/>
        </w:rPr>
        <w:t>;</w:t>
      </w:r>
    </w:p>
    <w:p w:rsidR="00D420E3" w:rsidRPr="00D420E3" w:rsidRDefault="00D420E3" w:rsidP="00D420E3">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D420E3">
        <w:rPr>
          <w:rFonts w:ascii="Times New Roman" w:hAnsi="Times New Roman"/>
        </w:rPr>
        <w:t>Reforma dos Vestiários</w:t>
      </w:r>
      <w:r>
        <w:rPr>
          <w:rFonts w:ascii="Times New Roman" w:hAnsi="Times New Roman"/>
        </w:rPr>
        <w:t>;</w:t>
      </w:r>
    </w:p>
    <w:p w:rsidR="00D420E3" w:rsidRPr="00D420E3" w:rsidRDefault="00D420E3" w:rsidP="00D420E3">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D420E3">
        <w:rPr>
          <w:rFonts w:ascii="Times New Roman" w:hAnsi="Times New Roman"/>
        </w:rPr>
        <w:t>Reforma das Instalações Elétricas</w:t>
      </w:r>
      <w:r>
        <w:rPr>
          <w:rFonts w:ascii="Times New Roman" w:hAnsi="Times New Roman"/>
        </w:rPr>
        <w:t>;</w:t>
      </w:r>
    </w:p>
    <w:p w:rsidR="00D420E3" w:rsidRPr="00D420E3" w:rsidRDefault="00D420E3" w:rsidP="00D420E3">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D420E3">
        <w:rPr>
          <w:rFonts w:ascii="Times New Roman" w:hAnsi="Times New Roman"/>
        </w:rPr>
        <w:t>Reforma e Pintura de Muro</w:t>
      </w:r>
      <w:r>
        <w:rPr>
          <w:rFonts w:ascii="Times New Roman" w:hAnsi="Times New Roman"/>
        </w:rPr>
        <w:t>;</w:t>
      </w:r>
    </w:p>
    <w:p w:rsidR="00D420E3" w:rsidRDefault="00D420E3" w:rsidP="00D420E3">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D420E3">
        <w:rPr>
          <w:rFonts w:ascii="Times New Roman" w:hAnsi="Times New Roman"/>
        </w:rPr>
        <w:t>Calçada entorno da Quadra;</w:t>
      </w:r>
    </w:p>
    <w:p w:rsidR="00D420E3" w:rsidRPr="00D420E3" w:rsidRDefault="00D420E3" w:rsidP="00D420E3">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D420E3">
        <w:rPr>
          <w:rFonts w:ascii="Times New Roman" w:hAnsi="Times New Roman"/>
        </w:rPr>
        <w:t>Colocar barras de apoio nos banheiros conforme projeto;</w:t>
      </w:r>
    </w:p>
    <w:p w:rsidR="00DC49FC" w:rsidRPr="00A114B6" w:rsidRDefault="00C66390" w:rsidP="00C34286">
      <w:pPr>
        <w:pStyle w:val="PargrafodaLista"/>
        <w:numPr>
          <w:ilvl w:val="1"/>
          <w:numId w:val="5"/>
        </w:numPr>
        <w:autoSpaceDE w:val="0"/>
        <w:autoSpaceDN w:val="0"/>
        <w:adjustRightInd w:val="0"/>
        <w:spacing w:after="0" w:line="300" w:lineRule="atLeast"/>
        <w:jc w:val="both"/>
        <w:rPr>
          <w:rFonts w:ascii="Times New Roman" w:hAnsi="Times New Roman"/>
          <w:lang w:eastAsia="pt-BR"/>
        </w:rPr>
      </w:pPr>
      <w:r w:rsidRPr="00A114B6">
        <w:rPr>
          <w:rFonts w:ascii="Times New Roman" w:hAnsi="Times New Roman"/>
        </w:rPr>
        <w:t xml:space="preserve">Providenciar </w:t>
      </w:r>
      <w:r w:rsidR="00DC49FC" w:rsidRPr="00A114B6">
        <w:rPr>
          <w:rFonts w:ascii="Times New Roman" w:hAnsi="Times New Roman"/>
        </w:rPr>
        <w:t>caçambas para retirada de entulho, restos de materiais da obra e descarte de alg</w:t>
      </w:r>
      <w:r w:rsidR="00F37B23" w:rsidRPr="00A114B6">
        <w:rPr>
          <w:rFonts w:ascii="Times New Roman" w:hAnsi="Times New Roman"/>
        </w:rPr>
        <w:t>um material não mais utilizável ao longo da execução dos serviços contratados.</w:t>
      </w:r>
    </w:p>
    <w:p w:rsidR="005975EC" w:rsidRDefault="005975EC" w:rsidP="00244D30">
      <w:pPr>
        <w:autoSpaceDE w:val="0"/>
        <w:autoSpaceDN w:val="0"/>
        <w:adjustRightInd w:val="0"/>
        <w:jc w:val="both"/>
        <w:rPr>
          <w:b/>
          <w:bCs/>
          <w:sz w:val="22"/>
          <w:szCs w:val="22"/>
        </w:rPr>
      </w:pPr>
    </w:p>
    <w:p w:rsidR="00D420E3" w:rsidRPr="00A114B6" w:rsidRDefault="00D420E3" w:rsidP="00244D30">
      <w:pPr>
        <w:autoSpaceDE w:val="0"/>
        <w:autoSpaceDN w:val="0"/>
        <w:adjustRightInd w:val="0"/>
        <w:jc w:val="both"/>
        <w:rPr>
          <w:b/>
          <w:bCs/>
          <w:sz w:val="22"/>
          <w:szCs w:val="22"/>
        </w:rPr>
      </w:pPr>
    </w:p>
    <w:p w:rsidR="005975EC" w:rsidRDefault="005975EC"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233387">
              <w:rPr>
                <w:rFonts w:eastAsia="Arial Unicode MS"/>
                <w:b/>
              </w:rPr>
              <w:t>R$</w:t>
            </w:r>
            <w:r w:rsidR="003A1C52">
              <w:rPr>
                <w:rFonts w:eastAsia="Arial Unicode MS"/>
                <w:b/>
              </w:rPr>
              <w:t>141.055,70</w:t>
            </w:r>
            <w:r w:rsidRPr="00233387">
              <w:rPr>
                <w:rFonts w:eastAsia="Arial Unicode MS"/>
                <w:b/>
              </w:rPr>
              <w:t xml:space="preserve"> –</w:t>
            </w:r>
            <w:r w:rsidR="003A1C52">
              <w:rPr>
                <w:rFonts w:eastAsia="Arial Unicode MS"/>
                <w:b/>
              </w:rPr>
              <w:t xml:space="preserve"> </w:t>
            </w:r>
            <w:r w:rsidR="008C53A6">
              <w:rPr>
                <w:rFonts w:eastAsia="Arial Unicode MS"/>
                <w:b/>
              </w:rPr>
              <w:t>DES</w:t>
            </w:r>
            <w:r w:rsidRPr="00233387">
              <w:rPr>
                <w:rFonts w:eastAsia="Arial Unicode MS"/>
                <w:b/>
              </w:rPr>
              <w:t>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18799B">
        <w:trPr>
          <w:trHeight w:val="5903"/>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Default="003A0C1D" w:rsidP="00885EE2">
            <w:pPr>
              <w:jc w:val="both"/>
              <w:rPr>
                <w:bCs/>
                <w:sz w:val="20"/>
                <w:szCs w:val="20"/>
              </w:rPr>
            </w:pPr>
            <w:r w:rsidRPr="00454327">
              <w:rPr>
                <w:bCs/>
                <w:sz w:val="20"/>
                <w:szCs w:val="20"/>
              </w:rPr>
              <w:t>ITE</w:t>
            </w:r>
            <w:r w:rsidR="0099336C" w:rsidRPr="00454327">
              <w:rPr>
                <w:bCs/>
                <w:sz w:val="20"/>
                <w:szCs w:val="20"/>
              </w:rPr>
              <w:t>N</w:t>
            </w:r>
            <w:r w:rsidRPr="00454327">
              <w:rPr>
                <w:bCs/>
                <w:sz w:val="20"/>
                <w:szCs w:val="20"/>
              </w:rPr>
              <w:t>S RELACIONADOS EM PLANILHA.</w:t>
            </w:r>
          </w:p>
          <w:p w:rsidR="00DE22E5" w:rsidRPr="00454327" w:rsidRDefault="00DE22E5" w:rsidP="00885EE2">
            <w:pPr>
              <w:jc w:val="both"/>
              <w:rPr>
                <w:bCs/>
                <w:sz w:val="20"/>
                <w:szCs w:val="20"/>
              </w:rPr>
            </w:pPr>
          </w:p>
          <w:p w:rsidR="00454327" w:rsidRPr="00454327" w:rsidRDefault="00454327" w:rsidP="00454327">
            <w:pPr>
              <w:jc w:val="both"/>
              <w:rPr>
                <w:bCs/>
                <w:sz w:val="20"/>
                <w:szCs w:val="20"/>
              </w:rPr>
            </w:pPr>
            <w:r w:rsidRPr="00454327">
              <w:rPr>
                <w:bCs/>
                <w:sz w:val="20"/>
                <w:szCs w:val="20"/>
              </w:rPr>
              <w:t>SERVIÇOS PRELIMINARES</w:t>
            </w:r>
            <w:r w:rsidRPr="00454327">
              <w:rPr>
                <w:bCs/>
                <w:sz w:val="20"/>
                <w:szCs w:val="20"/>
              </w:rPr>
              <w:tab/>
            </w:r>
            <w:r w:rsidRPr="00454327">
              <w:rPr>
                <w:bCs/>
                <w:sz w:val="20"/>
                <w:szCs w:val="20"/>
              </w:rPr>
              <w:tab/>
            </w:r>
            <w:r w:rsidRPr="00454327">
              <w:rPr>
                <w:bCs/>
                <w:sz w:val="20"/>
                <w:szCs w:val="20"/>
              </w:rPr>
              <w:tab/>
            </w:r>
          </w:p>
          <w:p w:rsidR="00454327" w:rsidRPr="00454327" w:rsidRDefault="00454327" w:rsidP="00454327">
            <w:pPr>
              <w:jc w:val="both"/>
              <w:rPr>
                <w:bCs/>
                <w:sz w:val="20"/>
                <w:szCs w:val="20"/>
              </w:rPr>
            </w:pPr>
            <w:r w:rsidRPr="00454327">
              <w:rPr>
                <w:bCs/>
                <w:sz w:val="20"/>
                <w:szCs w:val="20"/>
              </w:rPr>
              <w:t>ADMINISTRAÇÃO LOCAL</w:t>
            </w:r>
            <w:r w:rsidRPr="00454327">
              <w:rPr>
                <w:bCs/>
                <w:sz w:val="20"/>
                <w:szCs w:val="20"/>
              </w:rPr>
              <w:tab/>
            </w:r>
            <w:r w:rsidRPr="00454327">
              <w:rPr>
                <w:bCs/>
                <w:sz w:val="20"/>
                <w:szCs w:val="20"/>
              </w:rPr>
              <w:tab/>
            </w:r>
            <w:r w:rsidRPr="00454327">
              <w:rPr>
                <w:bCs/>
                <w:sz w:val="20"/>
                <w:szCs w:val="20"/>
              </w:rPr>
              <w:tab/>
            </w:r>
          </w:p>
          <w:p w:rsidR="00454327" w:rsidRPr="00454327" w:rsidRDefault="00454327" w:rsidP="00454327">
            <w:pPr>
              <w:jc w:val="both"/>
              <w:rPr>
                <w:bCs/>
                <w:sz w:val="20"/>
                <w:szCs w:val="20"/>
              </w:rPr>
            </w:pPr>
            <w:r w:rsidRPr="00454327">
              <w:rPr>
                <w:bCs/>
                <w:sz w:val="20"/>
                <w:szCs w:val="20"/>
              </w:rPr>
              <w:t>INSTALAÇÕES ELÉTRICAS</w:t>
            </w:r>
            <w:r w:rsidRPr="00454327">
              <w:rPr>
                <w:bCs/>
                <w:sz w:val="20"/>
                <w:szCs w:val="20"/>
              </w:rPr>
              <w:tab/>
            </w:r>
            <w:r w:rsidRPr="00454327">
              <w:rPr>
                <w:bCs/>
                <w:sz w:val="20"/>
                <w:szCs w:val="20"/>
              </w:rPr>
              <w:tab/>
            </w:r>
            <w:r w:rsidRPr="00454327">
              <w:rPr>
                <w:bCs/>
                <w:sz w:val="20"/>
                <w:szCs w:val="20"/>
              </w:rPr>
              <w:tab/>
            </w:r>
          </w:p>
          <w:p w:rsidR="00454327" w:rsidRPr="00454327" w:rsidRDefault="00454327" w:rsidP="00454327">
            <w:pPr>
              <w:jc w:val="both"/>
              <w:rPr>
                <w:bCs/>
                <w:sz w:val="20"/>
                <w:szCs w:val="20"/>
              </w:rPr>
            </w:pPr>
            <w:r w:rsidRPr="00454327">
              <w:rPr>
                <w:bCs/>
                <w:sz w:val="20"/>
                <w:szCs w:val="20"/>
              </w:rPr>
              <w:t>PINTURA DE ESTRUTURA METÁLICA - QUADRA</w:t>
            </w:r>
            <w:r w:rsidRPr="00454327">
              <w:rPr>
                <w:bCs/>
                <w:sz w:val="20"/>
                <w:szCs w:val="20"/>
              </w:rPr>
              <w:tab/>
            </w:r>
            <w:r w:rsidRPr="00454327">
              <w:rPr>
                <w:bCs/>
                <w:sz w:val="20"/>
                <w:szCs w:val="20"/>
              </w:rPr>
              <w:tab/>
            </w:r>
            <w:r w:rsidRPr="00454327">
              <w:rPr>
                <w:bCs/>
                <w:sz w:val="20"/>
                <w:szCs w:val="20"/>
              </w:rPr>
              <w:tab/>
            </w:r>
            <w:r w:rsidRPr="00454327">
              <w:rPr>
                <w:bCs/>
                <w:sz w:val="20"/>
                <w:szCs w:val="20"/>
              </w:rPr>
              <w:tab/>
            </w:r>
            <w:r w:rsidRPr="00454327">
              <w:rPr>
                <w:bCs/>
                <w:sz w:val="20"/>
                <w:szCs w:val="20"/>
              </w:rPr>
              <w:tab/>
            </w:r>
          </w:p>
          <w:p w:rsidR="00454327" w:rsidRPr="00454327" w:rsidRDefault="00454327" w:rsidP="00454327">
            <w:pPr>
              <w:jc w:val="both"/>
              <w:rPr>
                <w:bCs/>
                <w:sz w:val="20"/>
                <w:szCs w:val="20"/>
              </w:rPr>
            </w:pPr>
            <w:r w:rsidRPr="00454327">
              <w:rPr>
                <w:bCs/>
                <w:sz w:val="20"/>
                <w:szCs w:val="20"/>
              </w:rPr>
              <w:t>PISO DA QUADRA</w:t>
            </w:r>
            <w:r w:rsidRPr="00454327">
              <w:rPr>
                <w:bCs/>
                <w:sz w:val="20"/>
                <w:szCs w:val="20"/>
              </w:rPr>
              <w:tab/>
            </w:r>
            <w:r w:rsidRPr="00454327">
              <w:rPr>
                <w:bCs/>
                <w:sz w:val="20"/>
                <w:szCs w:val="20"/>
              </w:rPr>
              <w:tab/>
            </w:r>
            <w:r w:rsidRPr="00454327">
              <w:rPr>
                <w:bCs/>
                <w:sz w:val="20"/>
                <w:szCs w:val="20"/>
              </w:rPr>
              <w:tab/>
            </w:r>
            <w:r w:rsidRPr="00454327">
              <w:rPr>
                <w:bCs/>
                <w:sz w:val="20"/>
                <w:szCs w:val="20"/>
              </w:rPr>
              <w:tab/>
            </w:r>
          </w:p>
          <w:p w:rsidR="00454327" w:rsidRPr="00454327" w:rsidRDefault="00454327" w:rsidP="00454327">
            <w:pPr>
              <w:jc w:val="both"/>
              <w:rPr>
                <w:bCs/>
                <w:sz w:val="20"/>
                <w:szCs w:val="20"/>
              </w:rPr>
            </w:pPr>
            <w:r w:rsidRPr="00454327">
              <w:rPr>
                <w:bCs/>
                <w:sz w:val="20"/>
                <w:szCs w:val="20"/>
              </w:rPr>
              <w:t>MURETA, ARQUIBANCADA E PALCO</w:t>
            </w:r>
            <w:r w:rsidRPr="00454327">
              <w:rPr>
                <w:bCs/>
                <w:sz w:val="20"/>
                <w:szCs w:val="20"/>
              </w:rPr>
              <w:tab/>
            </w:r>
            <w:r w:rsidRPr="00454327">
              <w:rPr>
                <w:bCs/>
                <w:sz w:val="20"/>
                <w:szCs w:val="20"/>
              </w:rPr>
              <w:tab/>
            </w:r>
          </w:p>
          <w:p w:rsidR="00454327" w:rsidRPr="00454327" w:rsidRDefault="00454327" w:rsidP="00454327">
            <w:pPr>
              <w:jc w:val="both"/>
              <w:rPr>
                <w:bCs/>
                <w:sz w:val="20"/>
                <w:szCs w:val="20"/>
              </w:rPr>
            </w:pPr>
            <w:r w:rsidRPr="00454327">
              <w:rPr>
                <w:bCs/>
                <w:sz w:val="20"/>
                <w:szCs w:val="20"/>
              </w:rPr>
              <w:t>REFORMA VESTIÁRIOS</w:t>
            </w:r>
            <w:r w:rsidRPr="00454327">
              <w:rPr>
                <w:bCs/>
                <w:sz w:val="20"/>
                <w:szCs w:val="20"/>
              </w:rPr>
              <w:tab/>
            </w:r>
            <w:r w:rsidRPr="00454327">
              <w:rPr>
                <w:bCs/>
                <w:sz w:val="20"/>
                <w:szCs w:val="20"/>
              </w:rPr>
              <w:tab/>
            </w:r>
            <w:r w:rsidRPr="00454327">
              <w:rPr>
                <w:bCs/>
                <w:sz w:val="20"/>
                <w:szCs w:val="20"/>
              </w:rPr>
              <w:tab/>
            </w:r>
          </w:p>
          <w:p w:rsidR="00454327" w:rsidRPr="00454327" w:rsidRDefault="00454327" w:rsidP="00454327">
            <w:pPr>
              <w:jc w:val="both"/>
              <w:rPr>
                <w:bCs/>
                <w:sz w:val="20"/>
                <w:szCs w:val="20"/>
              </w:rPr>
            </w:pPr>
            <w:r w:rsidRPr="00454327">
              <w:rPr>
                <w:bCs/>
                <w:sz w:val="20"/>
                <w:szCs w:val="20"/>
              </w:rPr>
              <w:t>REFORMA DE MURO</w:t>
            </w:r>
            <w:r w:rsidRPr="00454327">
              <w:rPr>
                <w:bCs/>
                <w:sz w:val="20"/>
                <w:szCs w:val="20"/>
              </w:rPr>
              <w:tab/>
            </w:r>
            <w:r w:rsidRPr="00454327">
              <w:rPr>
                <w:bCs/>
                <w:sz w:val="20"/>
                <w:szCs w:val="20"/>
              </w:rPr>
              <w:tab/>
            </w:r>
            <w:r w:rsidRPr="00454327">
              <w:rPr>
                <w:bCs/>
                <w:sz w:val="20"/>
                <w:szCs w:val="20"/>
              </w:rPr>
              <w:tab/>
            </w:r>
            <w:r w:rsidRPr="00454327">
              <w:rPr>
                <w:bCs/>
                <w:sz w:val="20"/>
                <w:szCs w:val="20"/>
              </w:rPr>
              <w:tab/>
            </w:r>
          </w:p>
          <w:p w:rsidR="0050332A" w:rsidRPr="00D56C5C" w:rsidRDefault="00454327" w:rsidP="00454327">
            <w:pPr>
              <w:jc w:val="both"/>
              <w:rPr>
                <w:b/>
                <w:bCs/>
                <w:sz w:val="20"/>
                <w:szCs w:val="20"/>
              </w:rPr>
            </w:pPr>
            <w:r w:rsidRPr="00454327">
              <w:rPr>
                <w:bCs/>
                <w:sz w:val="20"/>
                <w:szCs w:val="20"/>
              </w:rPr>
              <w:t>CALÇAMENTO</w:t>
            </w:r>
            <w:r w:rsidRPr="00454327">
              <w:rPr>
                <w:b/>
                <w:bCs/>
                <w:sz w:val="20"/>
                <w:szCs w:val="20"/>
              </w:rPr>
              <w:tab/>
            </w:r>
            <w:r w:rsidRPr="00454327">
              <w:rPr>
                <w:b/>
                <w:bCs/>
                <w:sz w:val="20"/>
                <w:szCs w:val="20"/>
              </w:rPr>
              <w:tab/>
            </w:r>
            <w:r w:rsidRPr="00454327">
              <w:rPr>
                <w:b/>
                <w:bCs/>
                <w:sz w:val="20"/>
                <w:szCs w:val="20"/>
              </w:rPr>
              <w:tab/>
            </w:r>
            <w:r w:rsidRPr="00454327">
              <w:rPr>
                <w:b/>
                <w:bCs/>
                <w:sz w:val="20"/>
                <w:szCs w:val="20"/>
              </w:rPr>
              <w:tab/>
            </w:r>
            <w:r w:rsidRPr="00454327">
              <w:rPr>
                <w:b/>
                <w:bCs/>
                <w:sz w:val="20"/>
                <w:szCs w:val="20"/>
              </w:rPr>
              <w:tab/>
            </w:r>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50332A" w:rsidP="009645BB">
            <w:pPr>
              <w:jc w:val="center"/>
              <w:rPr>
                <w:bCs/>
                <w:sz w:val="20"/>
                <w:szCs w:val="20"/>
              </w:rPr>
            </w:pPr>
            <w:r>
              <w:rPr>
                <w:bCs/>
                <w:sz w:val="20"/>
                <w:szCs w:val="20"/>
              </w:rPr>
              <w:t>1</w:t>
            </w:r>
          </w:p>
          <w:p w:rsidR="00056E4D" w:rsidRPr="00D56C5C" w:rsidRDefault="00056E4D" w:rsidP="009645BB">
            <w:pPr>
              <w:jc w:val="center"/>
              <w:rPr>
                <w:bCs/>
                <w:sz w:val="20"/>
                <w:szCs w:val="20"/>
              </w:rPr>
            </w:pPr>
            <w:r w:rsidRPr="00D56C5C">
              <w:rPr>
                <w:bCs/>
                <w:sz w:val="20"/>
                <w:szCs w:val="20"/>
              </w:rPr>
              <w:t>1</w:t>
            </w:r>
          </w:p>
          <w:p w:rsidR="00B061BB" w:rsidRDefault="00B061BB" w:rsidP="00885EE2">
            <w:pPr>
              <w:jc w:val="center"/>
              <w:rPr>
                <w:bCs/>
                <w:sz w:val="20"/>
                <w:szCs w:val="20"/>
              </w:rPr>
            </w:pPr>
          </w:p>
          <w:p w:rsidR="003A0C1D" w:rsidRPr="00D56C5C" w:rsidRDefault="003F6966" w:rsidP="00885EE2">
            <w:pPr>
              <w:jc w:val="center"/>
              <w:rPr>
                <w:bCs/>
                <w:sz w:val="20"/>
                <w:szCs w:val="20"/>
              </w:rPr>
            </w:pPr>
            <w:r w:rsidRPr="00D56C5C">
              <w:rPr>
                <w:bCs/>
                <w:sz w:val="20"/>
                <w:szCs w:val="20"/>
              </w:rPr>
              <w:t>1</w:t>
            </w:r>
          </w:p>
          <w:p w:rsidR="0020763C" w:rsidRDefault="0020763C" w:rsidP="00885EE2">
            <w:pPr>
              <w:jc w:val="center"/>
              <w:rPr>
                <w:bCs/>
                <w:sz w:val="20"/>
                <w:szCs w:val="20"/>
              </w:rPr>
            </w:pPr>
            <w:r w:rsidRPr="00D56C5C">
              <w:rPr>
                <w:bCs/>
                <w:sz w:val="20"/>
                <w:szCs w:val="20"/>
              </w:rPr>
              <w:t>1</w:t>
            </w:r>
          </w:p>
          <w:p w:rsidR="00E74FE3" w:rsidRDefault="00E74FE3" w:rsidP="00885EE2">
            <w:pPr>
              <w:jc w:val="center"/>
              <w:rPr>
                <w:bCs/>
                <w:sz w:val="20"/>
                <w:szCs w:val="20"/>
              </w:rPr>
            </w:pPr>
            <w:r>
              <w:rPr>
                <w:bCs/>
                <w:sz w:val="20"/>
                <w:szCs w:val="20"/>
              </w:rPr>
              <w:t>1</w:t>
            </w:r>
          </w:p>
          <w:p w:rsidR="00E74FE3" w:rsidRDefault="00B10AA3" w:rsidP="00885EE2">
            <w:pPr>
              <w:jc w:val="center"/>
              <w:rPr>
                <w:bCs/>
                <w:sz w:val="20"/>
                <w:szCs w:val="20"/>
              </w:rPr>
            </w:pPr>
            <w:r>
              <w:rPr>
                <w:bCs/>
                <w:sz w:val="20"/>
                <w:szCs w:val="20"/>
              </w:rPr>
              <w:t>1</w:t>
            </w:r>
          </w:p>
          <w:p w:rsidR="00E74FE3" w:rsidRPr="00D56C5C" w:rsidRDefault="00B10AA3" w:rsidP="00885EE2">
            <w:pPr>
              <w:jc w:val="center"/>
              <w:rPr>
                <w:bCs/>
                <w:sz w:val="20"/>
                <w:szCs w:val="20"/>
              </w:rPr>
            </w:pPr>
            <w:r>
              <w:rPr>
                <w:bCs/>
                <w:sz w:val="20"/>
                <w:szCs w:val="20"/>
              </w:rPr>
              <w:t>1</w:t>
            </w:r>
          </w:p>
          <w:p w:rsidR="005F23D9" w:rsidRPr="00D56C5C" w:rsidRDefault="005F23D9" w:rsidP="0050332A">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56C5C" w:rsidRDefault="003A0C1D" w:rsidP="00016A4D">
            <w:pPr>
              <w:jc w:val="center"/>
              <w:rPr>
                <w:b/>
                <w:bCs/>
                <w:color w:val="FF0000"/>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5F23D9" w:rsidRPr="00D56C5C" w:rsidRDefault="005F23D9" w:rsidP="00016A4D">
            <w:pPr>
              <w:jc w:val="center"/>
              <w:rPr>
                <w:b/>
                <w:bCs/>
                <w:color w:val="FF0000"/>
                <w:sz w:val="20"/>
                <w:szCs w:val="20"/>
              </w:rPr>
            </w:pPr>
          </w:p>
          <w:p w:rsidR="00F70BD1" w:rsidRPr="00D56C5C" w:rsidRDefault="00F70BD1" w:rsidP="00016A4D">
            <w:pPr>
              <w:jc w:val="center"/>
              <w:rPr>
                <w:b/>
                <w:bCs/>
                <w:color w:val="FF0000"/>
                <w:sz w:val="20"/>
                <w:szCs w:val="20"/>
              </w:rPr>
            </w:pPr>
          </w:p>
          <w:p w:rsidR="00F70BD1" w:rsidRPr="00D56C5C" w:rsidRDefault="00F70BD1" w:rsidP="00016A4D">
            <w:pPr>
              <w:jc w:val="center"/>
              <w:rPr>
                <w:b/>
                <w:bCs/>
                <w:color w:val="FF0000"/>
                <w:sz w:val="20"/>
                <w:szCs w:val="20"/>
              </w:rPr>
            </w:pPr>
          </w:p>
          <w:p w:rsidR="00DE22E5" w:rsidRPr="00DE22E5" w:rsidRDefault="00DE22E5" w:rsidP="00DE22E5">
            <w:pPr>
              <w:jc w:val="right"/>
              <w:rPr>
                <w:bCs/>
                <w:sz w:val="20"/>
                <w:szCs w:val="20"/>
              </w:rPr>
            </w:pPr>
            <w:r w:rsidRPr="00DE22E5">
              <w:rPr>
                <w:bCs/>
                <w:sz w:val="20"/>
                <w:szCs w:val="20"/>
              </w:rPr>
              <w:t>1.</w:t>
            </w:r>
            <w:r w:rsidR="003A1C52">
              <w:rPr>
                <w:bCs/>
                <w:sz w:val="20"/>
                <w:szCs w:val="20"/>
              </w:rPr>
              <w:t>641,53</w:t>
            </w:r>
          </w:p>
          <w:p w:rsidR="00DE22E5" w:rsidRPr="00DE22E5" w:rsidRDefault="00DE22E5" w:rsidP="00DE22E5">
            <w:pPr>
              <w:jc w:val="right"/>
              <w:rPr>
                <w:bCs/>
                <w:sz w:val="20"/>
                <w:szCs w:val="20"/>
              </w:rPr>
            </w:pPr>
            <w:r w:rsidRPr="00DE22E5">
              <w:rPr>
                <w:bCs/>
                <w:sz w:val="20"/>
                <w:szCs w:val="20"/>
              </w:rPr>
              <w:t>10</w:t>
            </w:r>
            <w:r w:rsidR="003A1C52">
              <w:rPr>
                <w:bCs/>
                <w:sz w:val="20"/>
                <w:szCs w:val="20"/>
              </w:rPr>
              <w:t>.335,39</w:t>
            </w:r>
          </w:p>
          <w:p w:rsidR="00DE22E5" w:rsidRPr="00DE22E5" w:rsidRDefault="003A1C52" w:rsidP="00DE22E5">
            <w:pPr>
              <w:jc w:val="right"/>
              <w:rPr>
                <w:bCs/>
                <w:sz w:val="20"/>
                <w:szCs w:val="20"/>
              </w:rPr>
            </w:pPr>
            <w:r>
              <w:rPr>
                <w:bCs/>
                <w:sz w:val="20"/>
                <w:szCs w:val="20"/>
              </w:rPr>
              <w:t>20.963,16</w:t>
            </w:r>
          </w:p>
          <w:p w:rsidR="00DE22E5" w:rsidRPr="00DE22E5" w:rsidRDefault="003A1C52" w:rsidP="00DE22E5">
            <w:pPr>
              <w:jc w:val="right"/>
              <w:rPr>
                <w:bCs/>
                <w:sz w:val="20"/>
                <w:szCs w:val="20"/>
              </w:rPr>
            </w:pPr>
            <w:r>
              <w:rPr>
                <w:bCs/>
                <w:sz w:val="20"/>
                <w:szCs w:val="20"/>
              </w:rPr>
              <w:t>9.711,14</w:t>
            </w:r>
          </w:p>
          <w:p w:rsidR="00B061BB" w:rsidRDefault="00B061BB" w:rsidP="00DE22E5">
            <w:pPr>
              <w:jc w:val="right"/>
              <w:rPr>
                <w:bCs/>
                <w:sz w:val="20"/>
                <w:szCs w:val="20"/>
              </w:rPr>
            </w:pPr>
          </w:p>
          <w:p w:rsidR="00DE22E5" w:rsidRPr="00DE22E5" w:rsidRDefault="003A1C52" w:rsidP="00DE22E5">
            <w:pPr>
              <w:jc w:val="right"/>
              <w:rPr>
                <w:bCs/>
                <w:sz w:val="20"/>
                <w:szCs w:val="20"/>
              </w:rPr>
            </w:pPr>
            <w:r>
              <w:rPr>
                <w:bCs/>
                <w:sz w:val="20"/>
                <w:szCs w:val="20"/>
              </w:rPr>
              <w:t>36.023,90</w:t>
            </w:r>
          </w:p>
          <w:p w:rsidR="00DE22E5" w:rsidRPr="00DE22E5" w:rsidRDefault="00DE22E5" w:rsidP="00DE22E5">
            <w:pPr>
              <w:jc w:val="right"/>
              <w:rPr>
                <w:bCs/>
                <w:sz w:val="20"/>
                <w:szCs w:val="20"/>
              </w:rPr>
            </w:pPr>
            <w:r w:rsidRPr="00DE22E5">
              <w:rPr>
                <w:bCs/>
                <w:sz w:val="20"/>
                <w:szCs w:val="20"/>
              </w:rPr>
              <w:t>3</w:t>
            </w:r>
            <w:r w:rsidR="003A1C52">
              <w:rPr>
                <w:bCs/>
                <w:sz w:val="20"/>
                <w:szCs w:val="20"/>
              </w:rPr>
              <w:t>.726,45</w:t>
            </w:r>
          </w:p>
          <w:p w:rsidR="00DE22E5" w:rsidRPr="00DE22E5" w:rsidRDefault="003A1C52" w:rsidP="00DE22E5">
            <w:pPr>
              <w:jc w:val="right"/>
              <w:rPr>
                <w:bCs/>
                <w:sz w:val="20"/>
                <w:szCs w:val="20"/>
              </w:rPr>
            </w:pPr>
            <w:r>
              <w:rPr>
                <w:bCs/>
                <w:sz w:val="20"/>
                <w:szCs w:val="20"/>
              </w:rPr>
              <w:t>24.023,21</w:t>
            </w:r>
          </w:p>
          <w:p w:rsidR="00DE22E5" w:rsidRPr="00DE22E5" w:rsidRDefault="003A1C52" w:rsidP="00DE22E5">
            <w:pPr>
              <w:jc w:val="right"/>
              <w:rPr>
                <w:bCs/>
                <w:sz w:val="20"/>
                <w:szCs w:val="20"/>
              </w:rPr>
            </w:pPr>
            <w:r>
              <w:rPr>
                <w:bCs/>
                <w:sz w:val="20"/>
                <w:szCs w:val="20"/>
              </w:rPr>
              <w:t>29.357,22</w:t>
            </w:r>
          </w:p>
          <w:p w:rsidR="00C60CAF" w:rsidRDefault="003A1C52" w:rsidP="00DE22E5">
            <w:pPr>
              <w:jc w:val="right"/>
              <w:rPr>
                <w:bCs/>
                <w:sz w:val="20"/>
                <w:szCs w:val="20"/>
              </w:rPr>
            </w:pPr>
            <w:r>
              <w:rPr>
                <w:bCs/>
                <w:sz w:val="20"/>
                <w:szCs w:val="20"/>
              </w:rPr>
              <w:t>5.273,69</w:t>
            </w:r>
            <w:bookmarkStart w:id="0" w:name="_GoBack"/>
            <w:bookmarkEnd w:id="0"/>
          </w:p>
          <w:p w:rsidR="00C60CAF" w:rsidRDefault="00C60CAF" w:rsidP="00016A4D">
            <w:pPr>
              <w:jc w:val="center"/>
              <w:rPr>
                <w:bCs/>
                <w:sz w:val="20"/>
                <w:szCs w:val="20"/>
              </w:rPr>
            </w:pPr>
          </w:p>
          <w:p w:rsidR="00B10AA3" w:rsidRDefault="00B10AA3" w:rsidP="00016A4D">
            <w:pPr>
              <w:jc w:val="center"/>
              <w:rPr>
                <w:bCs/>
                <w:sz w:val="20"/>
                <w:szCs w:val="20"/>
              </w:rPr>
            </w:pPr>
          </w:p>
          <w:p w:rsidR="00BD36ED" w:rsidRDefault="00BD36ED" w:rsidP="00016A4D">
            <w:pPr>
              <w:jc w:val="center"/>
              <w:rPr>
                <w:bCs/>
                <w:sz w:val="20"/>
                <w:szCs w:val="20"/>
              </w:rPr>
            </w:pPr>
          </w:p>
          <w:p w:rsidR="00E74FE3" w:rsidRDefault="00E74FE3" w:rsidP="00016A4D">
            <w:pPr>
              <w:jc w:val="center"/>
              <w:rPr>
                <w:bCs/>
                <w:sz w:val="20"/>
                <w:szCs w:val="20"/>
              </w:rPr>
            </w:pPr>
          </w:p>
          <w:p w:rsidR="00B96F8C" w:rsidRPr="00D56C5C" w:rsidRDefault="00B96F8C" w:rsidP="00E74FE3">
            <w:pPr>
              <w:jc w:val="center"/>
              <w:rPr>
                <w:b/>
                <w:bCs/>
                <w:sz w:val="20"/>
                <w:szCs w:val="20"/>
              </w:rPr>
            </w:pP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DE22E5" w:rsidP="00016A4D">
            <w:pPr>
              <w:jc w:val="center"/>
              <w:rPr>
                <w:b/>
                <w:bCs/>
                <w:color w:val="FF0000"/>
                <w:sz w:val="20"/>
                <w:szCs w:val="20"/>
              </w:rPr>
            </w:pPr>
            <w:r>
              <w:rPr>
                <w:b/>
                <w:bCs/>
                <w:sz w:val="20"/>
                <w:szCs w:val="20"/>
              </w:rPr>
              <w:t>1</w:t>
            </w:r>
            <w:r w:rsidR="003A1C52">
              <w:rPr>
                <w:b/>
                <w:bCs/>
                <w:sz w:val="20"/>
                <w:szCs w:val="20"/>
              </w:rPr>
              <w:t>41.055,70</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A93C89">
        <w:trPr>
          <w:trHeight w:val="91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A93C89" w:rsidRDefault="00B945D8" w:rsidP="008B6713">
            <w:pPr>
              <w:rPr>
                <w:bCs/>
                <w:color w:val="FF0000"/>
                <w:sz w:val="20"/>
                <w:szCs w:val="20"/>
              </w:rPr>
            </w:pPr>
          </w:p>
          <w:p w:rsidR="00205172" w:rsidRPr="0050332A" w:rsidRDefault="00205172" w:rsidP="00205172">
            <w:pPr>
              <w:rPr>
                <w:bCs/>
                <w:sz w:val="20"/>
                <w:szCs w:val="20"/>
              </w:rPr>
            </w:pPr>
            <w:r w:rsidRPr="0050332A">
              <w:rPr>
                <w:bCs/>
                <w:sz w:val="20"/>
                <w:szCs w:val="20"/>
              </w:rPr>
              <w:t>- Piso</w:t>
            </w:r>
            <w:r>
              <w:rPr>
                <w:bCs/>
                <w:sz w:val="20"/>
                <w:szCs w:val="20"/>
              </w:rPr>
              <w:t xml:space="preserve"> de Concreto </w:t>
            </w:r>
            <w:proofErr w:type="spellStart"/>
            <w:r>
              <w:rPr>
                <w:bCs/>
                <w:sz w:val="20"/>
                <w:szCs w:val="20"/>
              </w:rPr>
              <w:t>Semi</w:t>
            </w:r>
            <w:proofErr w:type="spellEnd"/>
            <w:r>
              <w:rPr>
                <w:bCs/>
                <w:sz w:val="20"/>
                <w:szCs w:val="20"/>
              </w:rPr>
              <w:t xml:space="preserve"> Polido</w:t>
            </w:r>
          </w:p>
          <w:p w:rsidR="00137CC0" w:rsidRPr="0050332A" w:rsidRDefault="00137CC0" w:rsidP="008B6713">
            <w:pPr>
              <w:rPr>
                <w:bCs/>
                <w:sz w:val="20"/>
                <w:szCs w:val="20"/>
              </w:rPr>
            </w:pPr>
            <w:r w:rsidRPr="0050332A">
              <w:rPr>
                <w:bCs/>
                <w:sz w:val="20"/>
                <w:szCs w:val="20"/>
              </w:rPr>
              <w:t xml:space="preserve">- </w:t>
            </w:r>
            <w:r w:rsidR="00205172">
              <w:rPr>
                <w:bCs/>
                <w:sz w:val="20"/>
                <w:szCs w:val="20"/>
              </w:rPr>
              <w:t>Pintura Epóxi</w:t>
            </w:r>
          </w:p>
          <w:p w:rsidR="00331675" w:rsidRPr="00A93C89" w:rsidRDefault="00331675" w:rsidP="00205172">
            <w:pPr>
              <w:rPr>
                <w:bCs/>
                <w:color w:val="FF0000"/>
                <w:sz w:val="20"/>
                <w:szCs w:val="20"/>
              </w:rPr>
            </w:pPr>
          </w:p>
        </w:tc>
        <w:tc>
          <w:tcPr>
            <w:tcW w:w="1068" w:type="dxa"/>
            <w:tcBorders>
              <w:top w:val="single" w:sz="4" w:space="0" w:color="auto"/>
              <w:left w:val="nil"/>
              <w:bottom w:val="single" w:sz="4" w:space="0" w:color="auto"/>
              <w:right w:val="single" w:sz="4" w:space="0" w:color="auto"/>
            </w:tcBorders>
          </w:tcPr>
          <w:p w:rsidR="00B945D8" w:rsidRPr="0050332A" w:rsidRDefault="00B945D8" w:rsidP="008B6713">
            <w:pPr>
              <w:jc w:val="center"/>
              <w:rPr>
                <w:bCs/>
                <w:sz w:val="20"/>
                <w:szCs w:val="20"/>
              </w:rPr>
            </w:pPr>
          </w:p>
          <w:p w:rsidR="00137CC0" w:rsidRPr="0050332A" w:rsidRDefault="00137CC0" w:rsidP="008B6713">
            <w:pPr>
              <w:jc w:val="center"/>
              <w:rPr>
                <w:bCs/>
                <w:sz w:val="20"/>
                <w:szCs w:val="20"/>
              </w:rPr>
            </w:pPr>
            <w:r w:rsidRPr="0050332A">
              <w:rPr>
                <w:bCs/>
                <w:sz w:val="20"/>
                <w:szCs w:val="20"/>
              </w:rPr>
              <w:t>M²</w:t>
            </w:r>
          </w:p>
          <w:p w:rsidR="00137CC0" w:rsidRDefault="00137CC0" w:rsidP="0050332A">
            <w:pPr>
              <w:jc w:val="center"/>
              <w:rPr>
                <w:bCs/>
                <w:sz w:val="20"/>
                <w:szCs w:val="20"/>
              </w:rPr>
            </w:pPr>
            <w:r w:rsidRPr="0050332A">
              <w:rPr>
                <w:bCs/>
                <w:sz w:val="20"/>
                <w:szCs w:val="20"/>
              </w:rPr>
              <w:t>M²</w:t>
            </w:r>
          </w:p>
          <w:p w:rsidR="00971A1B" w:rsidRPr="0050332A" w:rsidRDefault="00971A1B" w:rsidP="0050332A">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B945D8" w:rsidRPr="0050332A" w:rsidRDefault="00B945D8" w:rsidP="008B6713">
            <w:pPr>
              <w:jc w:val="right"/>
              <w:rPr>
                <w:bCs/>
                <w:sz w:val="20"/>
                <w:szCs w:val="20"/>
              </w:rPr>
            </w:pPr>
          </w:p>
          <w:p w:rsidR="00971A1B" w:rsidRDefault="00205172" w:rsidP="0050332A">
            <w:pPr>
              <w:jc w:val="right"/>
              <w:rPr>
                <w:bCs/>
                <w:sz w:val="20"/>
                <w:szCs w:val="20"/>
              </w:rPr>
            </w:pPr>
            <w:r>
              <w:rPr>
                <w:bCs/>
                <w:sz w:val="20"/>
                <w:szCs w:val="20"/>
              </w:rPr>
              <w:t>3</w:t>
            </w:r>
            <w:r w:rsidR="00B86086">
              <w:rPr>
                <w:bCs/>
                <w:sz w:val="20"/>
                <w:szCs w:val="20"/>
              </w:rPr>
              <w:t>96,</w:t>
            </w:r>
            <w:r>
              <w:rPr>
                <w:bCs/>
                <w:sz w:val="20"/>
                <w:szCs w:val="20"/>
              </w:rPr>
              <w:t>73</w:t>
            </w:r>
          </w:p>
          <w:p w:rsidR="00137CC0" w:rsidRPr="0050332A" w:rsidRDefault="00E74FE3" w:rsidP="0050332A">
            <w:pPr>
              <w:jc w:val="right"/>
              <w:rPr>
                <w:bCs/>
                <w:sz w:val="20"/>
                <w:szCs w:val="20"/>
              </w:rPr>
            </w:pPr>
            <w:r>
              <w:rPr>
                <w:bCs/>
                <w:sz w:val="20"/>
                <w:szCs w:val="20"/>
              </w:rPr>
              <w:t>3</w:t>
            </w:r>
            <w:r w:rsidR="00B86086">
              <w:rPr>
                <w:bCs/>
                <w:sz w:val="20"/>
                <w:szCs w:val="20"/>
              </w:rPr>
              <w:t>9</w:t>
            </w:r>
            <w:r w:rsidR="00205172">
              <w:rPr>
                <w:bCs/>
                <w:sz w:val="20"/>
                <w:szCs w:val="20"/>
              </w:rPr>
              <w:t>6,73</w:t>
            </w:r>
          </w:p>
          <w:p w:rsidR="0050332A" w:rsidRPr="0050332A" w:rsidRDefault="0050332A" w:rsidP="0050332A">
            <w:pPr>
              <w:jc w:val="right"/>
              <w:rPr>
                <w:bCs/>
                <w:sz w:val="20"/>
                <w:szCs w:val="20"/>
              </w:rPr>
            </w:pPr>
          </w:p>
        </w:tc>
        <w:tc>
          <w:tcPr>
            <w:tcW w:w="2126" w:type="dxa"/>
            <w:tcBorders>
              <w:top w:val="single" w:sz="4" w:space="0" w:color="auto"/>
              <w:left w:val="nil"/>
              <w:bottom w:val="single" w:sz="4" w:space="0" w:color="auto"/>
              <w:right w:val="single" w:sz="4" w:space="0" w:color="auto"/>
            </w:tcBorders>
          </w:tcPr>
          <w:p w:rsidR="00B945D8" w:rsidRPr="0050332A" w:rsidRDefault="00B945D8" w:rsidP="008B6713">
            <w:pPr>
              <w:jc w:val="right"/>
              <w:rPr>
                <w:bCs/>
                <w:sz w:val="20"/>
                <w:szCs w:val="20"/>
              </w:rPr>
            </w:pPr>
          </w:p>
          <w:p w:rsidR="00137CC0" w:rsidRDefault="00205172" w:rsidP="0050332A">
            <w:pPr>
              <w:jc w:val="right"/>
              <w:rPr>
                <w:bCs/>
                <w:sz w:val="20"/>
                <w:szCs w:val="20"/>
              </w:rPr>
            </w:pPr>
            <w:r>
              <w:rPr>
                <w:bCs/>
                <w:sz w:val="20"/>
                <w:szCs w:val="20"/>
              </w:rPr>
              <w:t>198,37</w:t>
            </w:r>
          </w:p>
          <w:p w:rsidR="00971A1B" w:rsidRPr="0050332A" w:rsidRDefault="00010C0A" w:rsidP="0050332A">
            <w:pPr>
              <w:jc w:val="right"/>
              <w:rPr>
                <w:bCs/>
                <w:sz w:val="20"/>
                <w:szCs w:val="20"/>
              </w:rPr>
            </w:pPr>
            <w:r>
              <w:rPr>
                <w:bCs/>
                <w:sz w:val="20"/>
                <w:szCs w:val="20"/>
              </w:rPr>
              <w:t>1</w:t>
            </w:r>
            <w:r w:rsidR="00B86086">
              <w:rPr>
                <w:bCs/>
                <w:sz w:val="20"/>
                <w:szCs w:val="20"/>
              </w:rPr>
              <w:t>9</w:t>
            </w:r>
            <w:r w:rsidR="00205172">
              <w:rPr>
                <w:bCs/>
                <w:sz w:val="20"/>
                <w:szCs w:val="20"/>
              </w:rPr>
              <w:t>8,37</w:t>
            </w:r>
          </w:p>
        </w:tc>
      </w:tr>
    </w:tbl>
    <w:p w:rsidR="00FD1E98" w:rsidRDefault="00FD1E98" w:rsidP="006D24EA">
      <w:pPr>
        <w:jc w:val="both"/>
        <w:rPr>
          <w:rFonts w:asciiTheme="minorHAnsi" w:hAnsiTheme="minorHAnsi"/>
          <w:b/>
          <w:color w:val="000000"/>
          <w:sz w:val="22"/>
          <w:szCs w:val="22"/>
        </w:rPr>
      </w:pPr>
    </w:p>
    <w:p w:rsidR="002D6879" w:rsidRDefault="002D6879"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rsidR="00454327" w:rsidRDefault="00454327" w:rsidP="00454327">
      <w:pPr>
        <w:autoSpaceDE w:val="0"/>
        <w:autoSpaceDN w:val="0"/>
        <w:adjustRightInd w:val="0"/>
        <w:spacing w:line="300" w:lineRule="atLeast"/>
        <w:ind w:left="426"/>
        <w:jc w:val="both"/>
        <w:rPr>
          <w:sz w:val="22"/>
          <w:szCs w:val="22"/>
        </w:rPr>
      </w:pPr>
      <w:r w:rsidRPr="00454327">
        <w:rPr>
          <w:sz w:val="22"/>
          <w:szCs w:val="22"/>
        </w:rPr>
        <w:t xml:space="preserve">Para a obra de </w:t>
      </w:r>
      <w:r w:rsidRPr="00454327">
        <w:rPr>
          <w:b/>
          <w:sz w:val="22"/>
          <w:szCs w:val="22"/>
        </w:rPr>
        <w:t>REFORMA E REPARO GERAIS</w:t>
      </w:r>
      <w:r w:rsidRPr="00454327">
        <w:rPr>
          <w:sz w:val="22"/>
          <w:szCs w:val="22"/>
        </w:rPr>
        <w:t xml:space="preserve"> da unidade escolar </w:t>
      </w:r>
      <w:r w:rsidRPr="00454327">
        <w:rPr>
          <w:b/>
          <w:sz w:val="22"/>
          <w:szCs w:val="22"/>
        </w:rPr>
        <w:t>CONSELHO ESCOLAR COLÉGIO ESTADUAL FARNESE RABELO</w:t>
      </w:r>
      <w:r w:rsidRPr="00454327">
        <w:rPr>
          <w:sz w:val="22"/>
          <w:szCs w:val="22"/>
        </w:rPr>
        <w:t xml:space="preserve">, foram elaboradas planilhas orçamentárias estimadas com as tabelas ONERADA e DESONERADA. Foram utilizados como referência os preços publicados pela AGETOP e SINAPI ou aqueles constantes das composições de custos unitários elaboradas pela Alçar Engenharia. Após a elaboração das planilhas, verifica-se que a </w:t>
      </w:r>
      <w:r w:rsidRPr="00454327">
        <w:rPr>
          <w:b/>
          <w:sz w:val="22"/>
          <w:szCs w:val="22"/>
        </w:rPr>
        <w:t xml:space="preserve">DESONERADA </w:t>
      </w:r>
      <w:r w:rsidRPr="00454327">
        <w:rPr>
          <w:b/>
          <w:bCs/>
          <w:sz w:val="22"/>
          <w:szCs w:val="22"/>
        </w:rPr>
        <w:t>é a mais vantajosa</w:t>
      </w:r>
      <w:r w:rsidRPr="00454327">
        <w:rPr>
          <w:b/>
          <w:sz w:val="22"/>
          <w:szCs w:val="22"/>
        </w:rPr>
        <w:t>,</w:t>
      </w:r>
      <w:r>
        <w:rPr>
          <w:b/>
          <w:sz w:val="22"/>
          <w:szCs w:val="22"/>
        </w:rPr>
        <w:t xml:space="preserve"> </w:t>
      </w:r>
      <w:r w:rsidRPr="006F4CA4">
        <w:rPr>
          <w:b/>
          <w:sz w:val="22"/>
          <w:szCs w:val="22"/>
        </w:rPr>
        <w:t>conforme art. 3° da Lei Federal 8.666/93</w:t>
      </w:r>
      <w:r w:rsidRPr="006F4CA4">
        <w:rPr>
          <w:sz w:val="22"/>
          <w:szCs w:val="22"/>
        </w:rPr>
        <w:t>.</w:t>
      </w:r>
    </w:p>
    <w:p w:rsidR="005650AE" w:rsidRDefault="005650AE" w:rsidP="00454327">
      <w:pPr>
        <w:autoSpaceDE w:val="0"/>
        <w:autoSpaceDN w:val="0"/>
        <w:adjustRightInd w:val="0"/>
        <w:spacing w:line="300" w:lineRule="atLeast"/>
        <w:ind w:left="426"/>
        <w:jc w:val="both"/>
        <w:rPr>
          <w:sz w:val="22"/>
          <w:szCs w:val="22"/>
        </w:rPr>
      </w:pPr>
    </w:p>
    <w:p w:rsidR="00D51F13" w:rsidRDefault="00D51F13" w:rsidP="00454327">
      <w:pPr>
        <w:autoSpaceDE w:val="0"/>
        <w:autoSpaceDN w:val="0"/>
        <w:adjustRightInd w:val="0"/>
        <w:spacing w:line="300" w:lineRule="atLeast"/>
        <w:ind w:left="426"/>
        <w:jc w:val="both"/>
        <w:rPr>
          <w:sz w:val="22"/>
          <w:szCs w:val="22"/>
        </w:rPr>
      </w:pPr>
    </w:p>
    <w:p w:rsidR="00ED7CC4" w:rsidRPr="00ED7CC4" w:rsidRDefault="00ED7CC4" w:rsidP="00ED7CC4">
      <w:pPr>
        <w:autoSpaceDE w:val="0"/>
        <w:autoSpaceDN w:val="0"/>
        <w:adjustRightInd w:val="0"/>
        <w:spacing w:line="300" w:lineRule="atLeast"/>
        <w:ind w:left="426"/>
        <w:jc w:val="both"/>
        <w:rPr>
          <w:b/>
          <w:sz w:val="22"/>
          <w:szCs w:val="22"/>
        </w:rPr>
      </w:pPr>
    </w:p>
    <w:p w:rsidR="00306E97" w:rsidRDefault="00306E97"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D23378" w:rsidRDefault="00D23378" w:rsidP="00D23378">
      <w:pPr>
        <w:pStyle w:val="PargrafodaLista"/>
        <w:autoSpaceDE w:val="0"/>
        <w:autoSpaceDN w:val="0"/>
        <w:adjustRightInd w:val="0"/>
        <w:spacing w:after="0" w:line="300" w:lineRule="atLeast"/>
        <w:ind w:left="794"/>
        <w:jc w:val="both"/>
        <w:rPr>
          <w:rFonts w:ascii="Times New Roman" w:hAnsi="Times New Roman"/>
        </w:rPr>
      </w:pPr>
    </w:p>
    <w:p w:rsidR="00D23378" w:rsidRDefault="00D23378" w:rsidP="00D23378">
      <w:pPr>
        <w:pStyle w:val="PargrafodaLista"/>
        <w:autoSpaceDE w:val="0"/>
        <w:autoSpaceDN w:val="0"/>
        <w:adjustRightInd w:val="0"/>
        <w:spacing w:after="0" w:line="300" w:lineRule="atLeast"/>
        <w:ind w:left="794"/>
        <w:jc w:val="both"/>
        <w:rPr>
          <w:rFonts w:ascii="Times New Roman" w:hAnsi="Times New Roman"/>
        </w:rPr>
      </w:pPr>
    </w:p>
    <w:p w:rsidR="00D23378" w:rsidRDefault="00D23378" w:rsidP="00D23378">
      <w:pPr>
        <w:pStyle w:val="PargrafodaLista"/>
        <w:autoSpaceDE w:val="0"/>
        <w:autoSpaceDN w:val="0"/>
        <w:adjustRightInd w:val="0"/>
        <w:spacing w:after="0" w:line="300" w:lineRule="atLeast"/>
        <w:ind w:left="794"/>
        <w:jc w:val="both"/>
        <w:rPr>
          <w:rFonts w:ascii="Times New Roman" w:hAnsi="Times New Roman"/>
        </w:rPr>
      </w:pP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Pr="00A114B6" w:rsidRDefault="00AF0671"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rsidR="00FD1E98" w:rsidRPr="00A114B6" w:rsidRDefault="00FD1E98" w:rsidP="006D24EA">
      <w:pPr>
        <w:jc w:val="both"/>
        <w:rPr>
          <w:b/>
          <w:color w:val="000000"/>
          <w:sz w:val="22"/>
          <w:szCs w:val="22"/>
        </w:rPr>
      </w:pPr>
    </w:p>
    <w:p w:rsidR="00D467C7" w:rsidRPr="00A114B6" w:rsidRDefault="00D467C7"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1" w:name="_Hlk25588870"/>
      <w:r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D23378" w:rsidRDefault="00D23378" w:rsidP="00D23378">
      <w:pPr>
        <w:pStyle w:val="PargrafodaLista"/>
        <w:autoSpaceDE w:val="0"/>
        <w:autoSpaceDN w:val="0"/>
        <w:adjustRightInd w:val="0"/>
        <w:spacing w:after="0" w:line="300" w:lineRule="atLeast"/>
        <w:ind w:left="1758"/>
        <w:jc w:val="both"/>
        <w:rPr>
          <w:rFonts w:ascii="Times New Roman" w:hAnsi="Times New Roman"/>
        </w:rPr>
      </w:pPr>
    </w:p>
    <w:p w:rsidR="00D23378" w:rsidRDefault="00D23378" w:rsidP="00D23378">
      <w:pPr>
        <w:pStyle w:val="PargrafodaLista"/>
        <w:autoSpaceDE w:val="0"/>
        <w:autoSpaceDN w:val="0"/>
        <w:adjustRightInd w:val="0"/>
        <w:spacing w:after="0" w:line="300" w:lineRule="atLeast"/>
        <w:ind w:left="1758"/>
        <w:jc w:val="both"/>
        <w:rPr>
          <w:rFonts w:ascii="Times New Roman" w:hAnsi="Times New Roman"/>
        </w:rPr>
      </w:pPr>
    </w:p>
    <w:p w:rsidR="00D23378" w:rsidRDefault="00D23378" w:rsidP="00D23378">
      <w:pPr>
        <w:pStyle w:val="PargrafodaLista"/>
        <w:autoSpaceDE w:val="0"/>
        <w:autoSpaceDN w:val="0"/>
        <w:adjustRightInd w:val="0"/>
        <w:spacing w:after="0" w:line="300" w:lineRule="atLeast"/>
        <w:ind w:left="1758"/>
        <w:jc w:val="both"/>
        <w:rPr>
          <w:rFonts w:ascii="Times New Roman" w:hAnsi="Times New Roman"/>
        </w:rPr>
      </w:pPr>
    </w:p>
    <w:p w:rsidR="00D23378" w:rsidRDefault="00D23378" w:rsidP="00D23378">
      <w:pPr>
        <w:pStyle w:val="PargrafodaLista"/>
        <w:autoSpaceDE w:val="0"/>
        <w:autoSpaceDN w:val="0"/>
        <w:adjustRightInd w:val="0"/>
        <w:spacing w:after="0" w:line="300" w:lineRule="atLeast"/>
        <w:ind w:left="1758"/>
        <w:jc w:val="both"/>
        <w:rPr>
          <w:rFonts w:ascii="Times New Roman" w:hAnsi="Times New Roman"/>
        </w:rPr>
      </w:pP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Pr="00A114B6"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3E48FA" w:rsidRPr="00991E98"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1"/>
    <w:p w:rsidR="00D467C7" w:rsidRDefault="00D467C7" w:rsidP="006D24EA">
      <w:pPr>
        <w:jc w:val="both"/>
        <w:rPr>
          <w:b/>
          <w:color w:val="000000"/>
          <w:sz w:val="22"/>
          <w:szCs w:val="22"/>
        </w:rPr>
      </w:pPr>
    </w:p>
    <w:p w:rsidR="00D23378" w:rsidRDefault="00D23378" w:rsidP="006D24EA">
      <w:pPr>
        <w:jc w:val="both"/>
        <w:rPr>
          <w:b/>
          <w:color w:val="000000"/>
          <w:sz w:val="22"/>
          <w:szCs w:val="22"/>
        </w:rPr>
      </w:pPr>
    </w:p>
    <w:p w:rsidR="00D23378" w:rsidRDefault="00D23378" w:rsidP="006D24EA">
      <w:pPr>
        <w:jc w:val="both"/>
        <w:rPr>
          <w:b/>
          <w:color w:val="000000"/>
          <w:sz w:val="22"/>
          <w:szCs w:val="22"/>
        </w:rPr>
      </w:pPr>
    </w:p>
    <w:p w:rsidR="00D23378" w:rsidRDefault="00D23378" w:rsidP="006D24EA">
      <w:pPr>
        <w:jc w:val="both"/>
        <w:rPr>
          <w:b/>
          <w:color w:val="000000"/>
          <w:sz w:val="22"/>
          <w:szCs w:val="22"/>
        </w:rPr>
      </w:pPr>
    </w:p>
    <w:p w:rsidR="00D23378" w:rsidRDefault="00D23378" w:rsidP="006D24EA">
      <w:pPr>
        <w:jc w:val="both"/>
        <w:rPr>
          <w:b/>
          <w:color w:val="000000"/>
          <w:sz w:val="22"/>
          <w:szCs w:val="22"/>
        </w:rPr>
      </w:pPr>
    </w:p>
    <w:p w:rsidR="00D23378" w:rsidRPr="00A114B6" w:rsidRDefault="00D23378" w:rsidP="006D24EA">
      <w:pPr>
        <w:jc w:val="both"/>
        <w:rPr>
          <w:b/>
          <w:color w:val="000000"/>
          <w:sz w:val="22"/>
          <w:szCs w:val="22"/>
        </w:rPr>
      </w:pPr>
    </w:p>
    <w:p w:rsidR="00D467C7" w:rsidRPr="00A114B6" w:rsidRDefault="00D467C7"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Fiscalização e Recomendações Operacionais</w:t>
      </w:r>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FD1E98"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D40DE3" w:rsidRPr="00AF1C3D"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CONTRATADA, na execução do Contrato, sem prejuízo das responsabilidades contratuais e legais, </w:t>
      </w:r>
      <w:r w:rsidRPr="00A114B6">
        <w:rPr>
          <w:rFonts w:ascii="Times New Roman" w:hAnsi="Times New Roman"/>
          <w:b/>
        </w:rPr>
        <w:t>subcontratar até 30% (trinta por cento) do valor da obra correspondente à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O licitante deverá anexar aos autos o(s) contrato(s) com o(s) 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00C66390"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rsidR="00AF1C3D" w:rsidRDefault="00AF1C3D" w:rsidP="00AF1C3D">
      <w:pPr>
        <w:pStyle w:val="PargrafodaLista"/>
        <w:autoSpaceDE w:val="0"/>
        <w:autoSpaceDN w:val="0"/>
        <w:adjustRightInd w:val="0"/>
        <w:spacing w:after="0" w:line="300" w:lineRule="atLeast"/>
        <w:ind w:left="1474"/>
        <w:jc w:val="both"/>
        <w:rPr>
          <w:rFonts w:ascii="Times New Roman" w:hAnsi="Times New Roman"/>
          <w:b/>
          <w:bCs/>
        </w:rPr>
      </w:pPr>
    </w:p>
    <w:p w:rsidR="00AF1C3D" w:rsidRDefault="00AF1C3D" w:rsidP="00AF1C3D">
      <w:pPr>
        <w:pStyle w:val="PargrafodaLista"/>
        <w:autoSpaceDE w:val="0"/>
        <w:autoSpaceDN w:val="0"/>
        <w:adjustRightInd w:val="0"/>
        <w:spacing w:after="0" w:line="300" w:lineRule="atLeast"/>
        <w:ind w:left="1474"/>
        <w:jc w:val="both"/>
        <w:rPr>
          <w:rFonts w:ascii="Times New Roman" w:hAnsi="Times New Roman"/>
          <w:b/>
          <w:bCs/>
        </w:rPr>
      </w:pPr>
    </w:p>
    <w:p w:rsidR="00AF1C3D" w:rsidRDefault="00AF1C3D" w:rsidP="00AF1C3D">
      <w:pPr>
        <w:pStyle w:val="PargrafodaLista"/>
        <w:autoSpaceDE w:val="0"/>
        <w:autoSpaceDN w:val="0"/>
        <w:adjustRightInd w:val="0"/>
        <w:spacing w:after="0" w:line="300" w:lineRule="atLeast"/>
        <w:ind w:left="1474"/>
        <w:jc w:val="both"/>
        <w:rPr>
          <w:rFonts w:ascii="Times New Roman" w:hAnsi="Times New Roman"/>
          <w:b/>
          <w:bCs/>
        </w:rPr>
      </w:pPr>
    </w:p>
    <w:p w:rsidR="00AF1C3D" w:rsidRPr="00A114B6" w:rsidRDefault="00AF1C3D" w:rsidP="00AF1C3D">
      <w:pPr>
        <w:pStyle w:val="PargrafodaLista"/>
        <w:autoSpaceDE w:val="0"/>
        <w:autoSpaceDN w:val="0"/>
        <w:adjustRightInd w:val="0"/>
        <w:spacing w:after="0" w:line="300" w:lineRule="atLeast"/>
        <w:ind w:left="1474"/>
        <w:jc w:val="both"/>
        <w:rPr>
          <w:rFonts w:ascii="Times New Roman" w:hAnsi="Times New Roman"/>
          <w:b/>
          <w:bCs/>
        </w:rPr>
      </w:pPr>
    </w:p>
    <w:p w:rsidR="00D40DE3"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FD1E98"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rsidR="003A38F0" w:rsidRPr="00A114B6"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F1C3D"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p>
    <w:p w:rsidR="00AF1C3D" w:rsidRDefault="00AF1C3D" w:rsidP="00AF1C3D">
      <w:pPr>
        <w:pStyle w:val="PargrafodaLista"/>
        <w:autoSpaceDE w:val="0"/>
        <w:autoSpaceDN w:val="0"/>
        <w:adjustRightInd w:val="0"/>
        <w:spacing w:after="0" w:line="300" w:lineRule="atLeast"/>
        <w:ind w:left="1474"/>
        <w:jc w:val="both"/>
        <w:rPr>
          <w:rFonts w:ascii="Times New Roman" w:hAnsi="Times New Roman"/>
          <w:b/>
          <w:bCs/>
        </w:rPr>
      </w:pPr>
    </w:p>
    <w:p w:rsidR="00AF1C3D" w:rsidRDefault="00AF1C3D" w:rsidP="00AF1C3D">
      <w:pPr>
        <w:pStyle w:val="PargrafodaLista"/>
        <w:autoSpaceDE w:val="0"/>
        <w:autoSpaceDN w:val="0"/>
        <w:adjustRightInd w:val="0"/>
        <w:spacing w:after="0" w:line="300" w:lineRule="atLeast"/>
        <w:ind w:left="1474"/>
        <w:jc w:val="both"/>
        <w:rPr>
          <w:rFonts w:ascii="Times New Roman" w:hAnsi="Times New Roman"/>
          <w:b/>
          <w:bCs/>
        </w:rPr>
      </w:pPr>
    </w:p>
    <w:p w:rsidR="00AF1C3D" w:rsidRDefault="00AF1C3D" w:rsidP="00AF1C3D">
      <w:pPr>
        <w:pStyle w:val="PargrafodaLista"/>
        <w:autoSpaceDE w:val="0"/>
        <w:autoSpaceDN w:val="0"/>
        <w:adjustRightInd w:val="0"/>
        <w:spacing w:after="0" w:line="300" w:lineRule="atLeast"/>
        <w:ind w:left="1474"/>
        <w:jc w:val="both"/>
        <w:rPr>
          <w:rFonts w:ascii="Times New Roman" w:hAnsi="Times New Roman"/>
          <w:b/>
          <w:bCs/>
        </w:rPr>
      </w:pPr>
    </w:p>
    <w:p w:rsidR="00AF1C3D" w:rsidRDefault="00AF1C3D" w:rsidP="00AF1C3D">
      <w:pPr>
        <w:pStyle w:val="PargrafodaLista"/>
        <w:autoSpaceDE w:val="0"/>
        <w:autoSpaceDN w:val="0"/>
        <w:adjustRightInd w:val="0"/>
        <w:spacing w:after="0" w:line="300" w:lineRule="atLeast"/>
        <w:ind w:left="1474"/>
        <w:jc w:val="both"/>
        <w:rPr>
          <w:rFonts w:ascii="Times New Roman" w:hAnsi="Times New Roman"/>
          <w:b/>
          <w:bCs/>
        </w:rPr>
      </w:pPr>
    </w:p>
    <w:p w:rsidR="00AF1C3D" w:rsidRDefault="00AF1C3D" w:rsidP="00AF1C3D">
      <w:pPr>
        <w:pStyle w:val="PargrafodaLista"/>
        <w:autoSpaceDE w:val="0"/>
        <w:autoSpaceDN w:val="0"/>
        <w:adjustRightInd w:val="0"/>
        <w:spacing w:after="0" w:line="300" w:lineRule="atLeast"/>
        <w:ind w:left="1474"/>
        <w:jc w:val="both"/>
        <w:rPr>
          <w:rFonts w:ascii="Times New Roman" w:hAnsi="Times New Roman"/>
          <w:b/>
          <w:bCs/>
        </w:rPr>
      </w:pPr>
    </w:p>
    <w:p w:rsidR="00AF1C3D" w:rsidRPr="00A114B6" w:rsidRDefault="00AF1C3D" w:rsidP="00AF1C3D">
      <w:pPr>
        <w:pStyle w:val="PargrafodaLista"/>
        <w:autoSpaceDE w:val="0"/>
        <w:autoSpaceDN w:val="0"/>
        <w:adjustRightInd w:val="0"/>
        <w:spacing w:after="0" w:line="300" w:lineRule="atLeast"/>
        <w:ind w:left="1474"/>
        <w:jc w:val="both"/>
        <w:rPr>
          <w:rFonts w:ascii="Times New Roman" w:hAnsi="Times New Roman"/>
          <w:b/>
          <w:bCs/>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à CEI, exceto quando houver dispensa pela Previdência Social, neste caso será vinculada ao CNPJ da CONTRATADA;</w:t>
      </w:r>
    </w:p>
    <w:p w:rsidR="00956F9C" w:rsidRPr="00D23378"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D51F13" w:rsidRDefault="00D51F13" w:rsidP="006F4CA4">
      <w:pPr>
        <w:ind w:left="709"/>
        <w:jc w:val="both"/>
        <w:rPr>
          <w:sz w:val="21"/>
          <w:szCs w:val="21"/>
        </w:rPr>
      </w:pPr>
    </w:p>
    <w:p w:rsidR="00D51F13" w:rsidRDefault="00D51F13" w:rsidP="006F4CA4">
      <w:pPr>
        <w:ind w:left="709"/>
        <w:jc w:val="both"/>
        <w:rPr>
          <w:sz w:val="21"/>
          <w:szCs w:val="21"/>
        </w:rPr>
      </w:pPr>
    </w:p>
    <w:p w:rsidR="00AF1C3D" w:rsidRDefault="00AF1C3D" w:rsidP="006F4CA4">
      <w:pPr>
        <w:ind w:left="709"/>
        <w:jc w:val="both"/>
        <w:rPr>
          <w:sz w:val="21"/>
          <w:szCs w:val="21"/>
        </w:rPr>
      </w:pPr>
    </w:p>
    <w:p w:rsidR="006F4CA4" w:rsidRPr="00225F83" w:rsidRDefault="006F4CA4" w:rsidP="006F4CA4">
      <w:pPr>
        <w:ind w:left="709"/>
        <w:jc w:val="both"/>
        <w:rPr>
          <w:sz w:val="21"/>
          <w:szCs w:val="21"/>
        </w:rPr>
      </w:pPr>
    </w:p>
    <w:p w:rsidR="006F4CA4" w:rsidRPr="00225F83"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6F4CA4" w:rsidRPr="00225F83" w:rsidRDefault="006F4CA4" w:rsidP="006F4CA4">
      <w:pPr>
        <w:ind w:left="709"/>
        <w:jc w:val="both"/>
        <w:rPr>
          <w:sz w:val="21"/>
          <w:szCs w:val="21"/>
        </w:rPr>
      </w:pPr>
    </w:p>
    <w:p w:rsidR="006F4CA4"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xml:space="preserve">, ao(à) Fiscal da Obra ou ao(à) Servidor(a) Público(a) Responsável pela edificação jurisdicionada à SEDUC (contratante), que os encaminhará imediatamente ao: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SESMT Público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r w:rsidR="000E740D">
        <w:rPr>
          <w:spacing w:val="2"/>
          <w:sz w:val="21"/>
          <w:szCs w:val="21"/>
        </w:rPr>
        <w:t xml:space="preserve"> </w:t>
      </w:r>
      <w:r w:rsidRPr="00225F83">
        <w:rPr>
          <w:spacing w:val="2"/>
          <w:sz w:val="21"/>
          <w:szCs w:val="21"/>
        </w:rPr>
        <w:t>Servidor(a)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AF1C3D" w:rsidRDefault="00AF1C3D" w:rsidP="00AF1C3D">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AF1C3D" w:rsidRDefault="00AF1C3D" w:rsidP="00AF1C3D">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AF1C3D" w:rsidRDefault="00AF1C3D" w:rsidP="00AF1C3D">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AF1C3D" w:rsidRDefault="00AF1C3D" w:rsidP="00AF1C3D">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AF1C3D" w:rsidRPr="00225F83" w:rsidRDefault="00AF1C3D" w:rsidP="00AF1C3D">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991E98"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 xml:space="preserve">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w:t>
      </w:r>
      <w:r w:rsidR="00991E98">
        <w:rPr>
          <w:rFonts w:ascii="Times New Roman" w:hAnsi="Times New Roman"/>
          <w:sz w:val="21"/>
          <w:szCs w:val="21"/>
          <w:lang w:eastAsia="pt-BR"/>
        </w:rPr>
        <w:t xml:space="preserve"> </w:t>
      </w:r>
    </w:p>
    <w:p w:rsidR="003B44F3" w:rsidRPr="003C6360" w:rsidRDefault="003B44F3" w:rsidP="00991E98">
      <w:pPr>
        <w:pStyle w:val="PargrafodaLista"/>
        <w:autoSpaceDE w:val="0"/>
        <w:autoSpaceDN w:val="0"/>
        <w:adjustRightInd w:val="0"/>
        <w:spacing w:after="0" w:line="300" w:lineRule="atLeast"/>
        <w:ind w:left="1474"/>
        <w:jc w:val="both"/>
        <w:rPr>
          <w:rFonts w:ascii="Times New Roman" w:hAnsi="Times New Roman"/>
          <w:sz w:val="21"/>
          <w:szCs w:val="21"/>
          <w:lang w:eastAsia="pt-BR"/>
        </w:rPr>
      </w:pPr>
      <w:r w:rsidRPr="003C6360">
        <w:rPr>
          <w:rFonts w:ascii="Times New Roman" w:hAnsi="Times New Roman"/>
          <w:sz w:val="21"/>
          <w:szCs w:val="21"/>
          <w:lang w:eastAsia="pt-BR"/>
        </w:rPr>
        <w:t>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Pr="00A114B6" w:rsidRDefault="00225F83"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aos </w:t>
      </w:r>
      <w:r w:rsidR="00AF1C3D">
        <w:rPr>
          <w:sz w:val="22"/>
          <w:szCs w:val="22"/>
        </w:rPr>
        <w:t>16</w:t>
      </w:r>
      <w:r w:rsidR="00EC2B61" w:rsidRPr="00C80073">
        <w:rPr>
          <w:sz w:val="22"/>
          <w:szCs w:val="22"/>
        </w:rPr>
        <w:t xml:space="preserve"> </w:t>
      </w:r>
      <w:r w:rsidR="001D28BA" w:rsidRPr="00C80073">
        <w:rPr>
          <w:sz w:val="22"/>
          <w:szCs w:val="22"/>
        </w:rPr>
        <w:t xml:space="preserve">dias do mês de </w:t>
      </w:r>
      <w:r w:rsidR="00AF1C3D">
        <w:rPr>
          <w:sz w:val="22"/>
          <w:szCs w:val="22"/>
        </w:rPr>
        <w:t>fevereiro</w:t>
      </w:r>
      <w:r w:rsidR="00EE0983" w:rsidRPr="00C80073">
        <w:rPr>
          <w:sz w:val="22"/>
          <w:szCs w:val="22"/>
        </w:rPr>
        <w:t xml:space="preserve"> de 20</w:t>
      </w:r>
      <w:r w:rsidR="00297796" w:rsidRPr="00C80073">
        <w:rPr>
          <w:sz w:val="22"/>
          <w:szCs w:val="22"/>
        </w:rPr>
        <w:t>2</w:t>
      </w:r>
      <w:r w:rsidR="00C80073" w:rsidRPr="00C80073">
        <w:rPr>
          <w:sz w:val="22"/>
          <w:szCs w:val="22"/>
        </w:rPr>
        <w:t>1</w:t>
      </w:r>
      <w:r w:rsidR="00A37F11" w:rsidRPr="00C80073">
        <w:rPr>
          <w:sz w:val="22"/>
          <w:szCs w:val="22"/>
        </w:rPr>
        <w:t>.</w:t>
      </w:r>
    </w:p>
    <w:p w:rsidR="001D28BA" w:rsidRDefault="001D28BA" w:rsidP="00711A5A">
      <w:pPr>
        <w:rPr>
          <w:color w:val="000000"/>
        </w:rPr>
      </w:pPr>
    </w:p>
    <w:p w:rsidR="00D06811" w:rsidRDefault="00D06811" w:rsidP="00711A5A">
      <w:pPr>
        <w:rPr>
          <w:color w:val="000000"/>
        </w:rPr>
      </w:pPr>
    </w:p>
    <w:p w:rsidR="00A05833" w:rsidRDefault="00A05833" w:rsidP="00711A5A">
      <w:pPr>
        <w:rPr>
          <w:color w:val="000000"/>
        </w:rPr>
      </w:pPr>
    </w:p>
    <w:p w:rsidR="007260C4" w:rsidRDefault="007260C4" w:rsidP="00711A5A">
      <w:pPr>
        <w:rPr>
          <w:color w:val="000000"/>
        </w:rPr>
      </w:pPr>
    </w:p>
    <w:p w:rsidR="00D06811" w:rsidRDefault="00D06811"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D06811" w:rsidRPr="00016A4D" w:rsidTr="00D06811">
        <w:tc>
          <w:tcPr>
            <w:tcW w:w="9494" w:type="dxa"/>
          </w:tcPr>
          <w:p w:rsidR="00C80073" w:rsidRDefault="00C80073" w:rsidP="00C80073">
            <w:pPr>
              <w:jc w:val="center"/>
              <w:rPr>
                <w:rFonts w:ascii="Arial" w:hAnsi="Arial" w:cs="Arial"/>
                <w:color w:val="000000"/>
                <w:sz w:val="22"/>
                <w:szCs w:val="22"/>
              </w:rPr>
            </w:pPr>
            <w:r>
              <w:rPr>
                <w:rFonts w:ascii="Arial" w:hAnsi="Arial" w:cs="Arial"/>
                <w:color w:val="000000"/>
                <w:sz w:val="22"/>
                <w:szCs w:val="22"/>
              </w:rPr>
              <w:t>____________________________________</w:t>
            </w:r>
            <w:r w:rsidR="00991E98">
              <w:rPr>
                <w:rFonts w:ascii="Arial" w:hAnsi="Arial" w:cs="Arial"/>
                <w:color w:val="000000"/>
                <w:sz w:val="22"/>
                <w:szCs w:val="22"/>
              </w:rPr>
              <w:t>_______</w:t>
            </w:r>
            <w:r>
              <w:rPr>
                <w:rFonts w:ascii="Arial" w:hAnsi="Arial" w:cs="Arial"/>
                <w:color w:val="000000"/>
                <w:sz w:val="22"/>
                <w:szCs w:val="22"/>
              </w:rPr>
              <w:t>__</w:t>
            </w:r>
          </w:p>
          <w:p w:rsidR="00C80073" w:rsidRPr="00991E98" w:rsidRDefault="00C80073" w:rsidP="00C80073">
            <w:pPr>
              <w:pStyle w:val="Ttulo1"/>
              <w:numPr>
                <w:ilvl w:val="0"/>
                <w:numId w:val="38"/>
              </w:numPr>
              <w:tabs>
                <w:tab w:val="left" w:pos="0"/>
              </w:tabs>
              <w:jc w:val="center"/>
              <w:outlineLvl w:val="0"/>
              <w:rPr>
                <w:rFonts w:ascii="Times New Roman" w:hAnsi="Times New Roman"/>
                <w:b w:val="0"/>
                <w:color w:val="auto"/>
                <w:sz w:val="22"/>
                <w:szCs w:val="22"/>
                <w:lang w:eastAsia="pt-BR"/>
              </w:rPr>
            </w:pPr>
            <w:r w:rsidRPr="00991E98">
              <w:rPr>
                <w:rFonts w:ascii="Times New Roman" w:hAnsi="Times New Roman"/>
                <w:b w:val="0"/>
                <w:color w:val="auto"/>
                <w:sz w:val="22"/>
                <w:szCs w:val="22"/>
                <w:lang w:eastAsia="pt-BR"/>
              </w:rPr>
              <w:t>ARQ. E URB. LUIZ ALBERTO GONÇALVES BARBOSA</w:t>
            </w:r>
          </w:p>
          <w:p w:rsidR="00C80073" w:rsidRPr="00991E98" w:rsidRDefault="00C80073" w:rsidP="00C80073">
            <w:pPr>
              <w:pStyle w:val="Ttulo1"/>
              <w:numPr>
                <w:ilvl w:val="0"/>
                <w:numId w:val="38"/>
              </w:numPr>
              <w:tabs>
                <w:tab w:val="left" w:pos="0"/>
              </w:tabs>
              <w:jc w:val="center"/>
              <w:outlineLvl w:val="0"/>
              <w:rPr>
                <w:rFonts w:ascii="Times New Roman" w:hAnsi="Times New Roman"/>
                <w:b w:val="0"/>
                <w:color w:val="auto"/>
                <w:sz w:val="22"/>
                <w:szCs w:val="22"/>
                <w:lang w:eastAsia="pt-BR"/>
              </w:rPr>
            </w:pPr>
            <w:r w:rsidRPr="00991E98">
              <w:rPr>
                <w:rFonts w:ascii="Times New Roman" w:hAnsi="Times New Roman"/>
                <w:b w:val="0"/>
                <w:color w:val="auto"/>
                <w:sz w:val="22"/>
                <w:szCs w:val="22"/>
                <w:lang w:eastAsia="pt-BR"/>
              </w:rPr>
              <w:t>CAU A74193-0</w:t>
            </w:r>
          </w:p>
          <w:p w:rsidR="00D06811" w:rsidRPr="007260C4" w:rsidRDefault="00D06811" w:rsidP="00E6380F">
            <w:pPr>
              <w:jc w:val="center"/>
              <w:rPr>
                <w:color w:val="FF0000"/>
              </w:rPr>
            </w:pPr>
          </w:p>
        </w:tc>
      </w:tr>
      <w:tr w:rsidR="00D06811" w:rsidRPr="00016A4D" w:rsidTr="00D06811">
        <w:tc>
          <w:tcPr>
            <w:tcW w:w="9494" w:type="dxa"/>
          </w:tcPr>
          <w:p w:rsidR="00D06811" w:rsidRPr="00016A4D" w:rsidRDefault="00D06811" w:rsidP="00E6380F">
            <w:pPr>
              <w:pStyle w:val="Ttulo2"/>
              <w:tabs>
                <w:tab w:val="left" w:pos="0"/>
              </w:tabs>
              <w:jc w:val="center"/>
              <w:outlineLvl w:val="1"/>
              <w:rPr>
                <w:color w:val="FF0000"/>
                <w:sz w:val="22"/>
                <w:szCs w:val="22"/>
              </w:rPr>
            </w:pPr>
          </w:p>
        </w:tc>
      </w:tr>
      <w:tr w:rsidR="00D06811" w:rsidRPr="00016A4D" w:rsidTr="00D06811">
        <w:tc>
          <w:tcPr>
            <w:tcW w:w="9494" w:type="dxa"/>
          </w:tcPr>
          <w:p w:rsidR="00D06811" w:rsidRPr="00016A4D" w:rsidRDefault="00D06811" w:rsidP="00E6380F">
            <w:pPr>
              <w:pStyle w:val="Ttulo2"/>
              <w:tabs>
                <w:tab w:val="left" w:pos="0"/>
              </w:tabs>
              <w:jc w:val="center"/>
              <w:outlineLvl w:val="1"/>
              <w:rPr>
                <w:rFonts w:ascii="Times New Roman" w:hAnsi="Times New Roman"/>
                <w:b w:val="0"/>
                <w:color w:val="FF0000"/>
                <w:lang w:val="en-US"/>
              </w:rPr>
            </w:pPr>
          </w:p>
        </w:tc>
      </w:tr>
    </w:tbl>
    <w:p w:rsidR="00D104CE" w:rsidRDefault="00D104CE" w:rsidP="00016A4D">
      <w:pPr>
        <w:jc w:val="center"/>
        <w:rPr>
          <w:b/>
          <w:color w:val="FF0000"/>
        </w:rPr>
      </w:pPr>
    </w:p>
    <w:p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8D8" w:rsidRDefault="007948D8">
      <w:r>
        <w:separator/>
      </w:r>
    </w:p>
  </w:endnote>
  <w:endnote w:type="continuationSeparator" w:id="0">
    <w:p w:rsidR="007948D8" w:rsidRDefault="0079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3" w:rsidRDefault="003A1C52"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8D8" w:rsidRDefault="007948D8">
      <w:r>
        <w:separator/>
      </w:r>
    </w:p>
  </w:footnote>
  <w:footnote w:type="continuationSeparator" w:id="0">
    <w:p w:rsidR="007948D8" w:rsidRDefault="0079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91" w:rsidRDefault="003A1C52" w:rsidP="00016A4D">
    <w:pPr>
      <w:pStyle w:val="Cabealh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88489" o:spid="_x0000_s2050" type="#_x0000_t75" style="position:absolute;left:0;text-align:left;margin-left:-71.45pt;margin-top:-58.25pt;width:595.45pt;height:842.4pt;z-index:-251658752;mso-position-horizontal-relative:margin;mso-position-vertical-relative:margin" o:allowincell="f">
          <v:imagedata r:id="rId1" o:title="2"/>
          <w10:wrap anchorx="margin" anchory="margin"/>
        </v:shape>
      </w:pict>
    </w:r>
    <w:r w:rsidR="00225F83">
      <w:t xml:space="preserve">             </w:t>
    </w: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6"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8D62076"/>
    <w:multiLevelType w:val="hybridMultilevel"/>
    <w:tmpl w:val="3A9620A8"/>
    <w:lvl w:ilvl="0" w:tplc="FBA0B3FC">
      <w:start w:val="1"/>
      <w:numFmt w:val="bullet"/>
      <w:lvlText w:val=""/>
      <w:lvlJc w:val="left"/>
      <w:pPr>
        <w:tabs>
          <w:tab w:val="num" w:pos="170"/>
        </w:tabs>
        <w:ind w:left="170" w:hanging="17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8"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3"/>
  </w:num>
  <w:num w:numId="3">
    <w:abstractNumId w:val="20"/>
  </w:num>
  <w:num w:numId="4">
    <w:abstractNumId w:val="29"/>
  </w:num>
  <w:num w:numId="5">
    <w:abstractNumId w:val="14"/>
  </w:num>
  <w:num w:numId="6">
    <w:abstractNumId w:val="27"/>
  </w:num>
  <w:num w:numId="7">
    <w:abstractNumId w:val="7"/>
  </w:num>
  <w:num w:numId="8">
    <w:abstractNumId w:val="6"/>
  </w:num>
  <w:num w:numId="9">
    <w:abstractNumId w:val="3"/>
  </w:num>
  <w:num w:numId="10">
    <w:abstractNumId w:val="21"/>
  </w:num>
  <w:num w:numId="11">
    <w:abstractNumId w:val="12"/>
  </w:num>
  <w:num w:numId="12">
    <w:abstractNumId w:val="24"/>
  </w:num>
  <w:num w:numId="13">
    <w:abstractNumId w:val="30"/>
  </w:num>
  <w:num w:numId="14">
    <w:abstractNumId w:val="22"/>
  </w:num>
  <w:num w:numId="15">
    <w:abstractNumId w:val="23"/>
  </w:num>
  <w:num w:numId="16">
    <w:abstractNumId w:val="0"/>
  </w:num>
  <w:num w:numId="17">
    <w:abstractNumId w:val="5"/>
  </w:num>
  <w:num w:numId="18">
    <w:abstractNumId w:val="28"/>
  </w:num>
  <w:num w:numId="19">
    <w:abstractNumId w:val="19"/>
  </w:num>
  <w:num w:numId="20">
    <w:abstractNumId w:val="9"/>
  </w:num>
  <w:num w:numId="21">
    <w:abstractNumId w:val="4"/>
  </w:num>
  <w:num w:numId="22">
    <w:abstractNumId w:val="11"/>
  </w:num>
  <w:num w:numId="23">
    <w:abstractNumId w:val="8"/>
  </w:num>
  <w:num w:numId="24">
    <w:abstractNumId w:val="16"/>
  </w:num>
  <w:num w:numId="25">
    <w:abstractNumId w:val="1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0"/>
  </w:num>
  <w:num w:numId="34">
    <w:abstractNumId w:val="25"/>
  </w:num>
  <w:num w:numId="35">
    <w:abstractNumId w:val="2"/>
  </w:num>
  <w:num w:numId="36">
    <w:abstractNumId w:val="17"/>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num>
  <w:num w:numId="41">
    <w:abstractNumId w:val="26"/>
  </w:num>
  <w:num w:numId="42">
    <w:abstractNumId w:val="2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10C0A"/>
    <w:rsid w:val="0001124E"/>
    <w:rsid w:val="00013FC2"/>
    <w:rsid w:val="00014100"/>
    <w:rsid w:val="00014B97"/>
    <w:rsid w:val="00015C29"/>
    <w:rsid w:val="00016A4D"/>
    <w:rsid w:val="00021169"/>
    <w:rsid w:val="00024356"/>
    <w:rsid w:val="0002435E"/>
    <w:rsid w:val="0002466D"/>
    <w:rsid w:val="00026067"/>
    <w:rsid w:val="000260E0"/>
    <w:rsid w:val="000269CA"/>
    <w:rsid w:val="00027E64"/>
    <w:rsid w:val="00032F20"/>
    <w:rsid w:val="0003591B"/>
    <w:rsid w:val="000414E6"/>
    <w:rsid w:val="0004197A"/>
    <w:rsid w:val="00043341"/>
    <w:rsid w:val="0004450A"/>
    <w:rsid w:val="00044971"/>
    <w:rsid w:val="00045A19"/>
    <w:rsid w:val="00053BA7"/>
    <w:rsid w:val="00054DB4"/>
    <w:rsid w:val="00055254"/>
    <w:rsid w:val="00055941"/>
    <w:rsid w:val="00056E4D"/>
    <w:rsid w:val="00060609"/>
    <w:rsid w:val="00067344"/>
    <w:rsid w:val="00070D06"/>
    <w:rsid w:val="00070DC5"/>
    <w:rsid w:val="00071CFE"/>
    <w:rsid w:val="00071E60"/>
    <w:rsid w:val="00071E92"/>
    <w:rsid w:val="0007391E"/>
    <w:rsid w:val="00077E0D"/>
    <w:rsid w:val="00082194"/>
    <w:rsid w:val="00082206"/>
    <w:rsid w:val="00082FB7"/>
    <w:rsid w:val="0008400B"/>
    <w:rsid w:val="00084A72"/>
    <w:rsid w:val="00084F0C"/>
    <w:rsid w:val="000860A2"/>
    <w:rsid w:val="00086246"/>
    <w:rsid w:val="00092403"/>
    <w:rsid w:val="000A2CBC"/>
    <w:rsid w:val="000A4FE6"/>
    <w:rsid w:val="000A67C7"/>
    <w:rsid w:val="000A7335"/>
    <w:rsid w:val="000A7E68"/>
    <w:rsid w:val="000B4643"/>
    <w:rsid w:val="000B6BFE"/>
    <w:rsid w:val="000B6C6A"/>
    <w:rsid w:val="000C057B"/>
    <w:rsid w:val="000C4A48"/>
    <w:rsid w:val="000D1800"/>
    <w:rsid w:val="000E2119"/>
    <w:rsid w:val="000E2163"/>
    <w:rsid w:val="000E740D"/>
    <w:rsid w:val="000E75C0"/>
    <w:rsid w:val="000F0084"/>
    <w:rsid w:val="000F4495"/>
    <w:rsid w:val="000F7A26"/>
    <w:rsid w:val="0010010A"/>
    <w:rsid w:val="001002E7"/>
    <w:rsid w:val="00101CA9"/>
    <w:rsid w:val="001043BC"/>
    <w:rsid w:val="0011154A"/>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7CC0"/>
    <w:rsid w:val="00141464"/>
    <w:rsid w:val="001414C4"/>
    <w:rsid w:val="00142A1E"/>
    <w:rsid w:val="00146989"/>
    <w:rsid w:val="001540F8"/>
    <w:rsid w:val="00155695"/>
    <w:rsid w:val="00156097"/>
    <w:rsid w:val="00156A9E"/>
    <w:rsid w:val="00160BC5"/>
    <w:rsid w:val="0016267E"/>
    <w:rsid w:val="00162A01"/>
    <w:rsid w:val="00163A25"/>
    <w:rsid w:val="00163C22"/>
    <w:rsid w:val="00164A11"/>
    <w:rsid w:val="00165750"/>
    <w:rsid w:val="00170A8A"/>
    <w:rsid w:val="00174436"/>
    <w:rsid w:val="00176883"/>
    <w:rsid w:val="001770E8"/>
    <w:rsid w:val="00177113"/>
    <w:rsid w:val="00180F3C"/>
    <w:rsid w:val="001820C8"/>
    <w:rsid w:val="00183BD9"/>
    <w:rsid w:val="00184212"/>
    <w:rsid w:val="0018799B"/>
    <w:rsid w:val="00194D3A"/>
    <w:rsid w:val="001977EA"/>
    <w:rsid w:val="001A2179"/>
    <w:rsid w:val="001A44D0"/>
    <w:rsid w:val="001A46F1"/>
    <w:rsid w:val="001A4DED"/>
    <w:rsid w:val="001B02AD"/>
    <w:rsid w:val="001B3F3E"/>
    <w:rsid w:val="001B6935"/>
    <w:rsid w:val="001C2027"/>
    <w:rsid w:val="001C396C"/>
    <w:rsid w:val="001C4378"/>
    <w:rsid w:val="001C520F"/>
    <w:rsid w:val="001C53B4"/>
    <w:rsid w:val="001D0079"/>
    <w:rsid w:val="001D154A"/>
    <w:rsid w:val="001D2414"/>
    <w:rsid w:val="001D28BA"/>
    <w:rsid w:val="001D5E9A"/>
    <w:rsid w:val="001D71A2"/>
    <w:rsid w:val="001D79C1"/>
    <w:rsid w:val="001E0DB8"/>
    <w:rsid w:val="001E7E64"/>
    <w:rsid w:val="001F5276"/>
    <w:rsid w:val="001F7AD1"/>
    <w:rsid w:val="00203D66"/>
    <w:rsid w:val="00204335"/>
    <w:rsid w:val="002050BA"/>
    <w:rsid w:val="00205172"/>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3387"/>
    <w:rsid w:val="00234CD9"/>
    <w:rsid w:val="00240058"/>
    <w:rsid w:val="0024475D"/>
    <w:rsid w:val="00244D30"/>
    <w:rsid w:val="00244EC4"/>
    <w:rsid w:val="00246BFE"/>
    <w:rsid w:val="00246C59"/>
    <w:rsid w:val="0024740A"/>
    <w:rsid w:val="00250B64"/>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C82"/>
    <w:rsid w:val="002B610C"/>
    <w:rsid w:val="002B68C0"/>
    <w:rsid w:val="002B6E19"/>
    <w:rsid w:val="002B7222"/>
    <w:rsid w:val="002C0167"/>
    <w:rsid w:val="002C26CB"/>
    <w:rsid w:val="002C34FC"/>
    <w:rsid w:val="002D04DE"/>
    <w:rsid w:val="002D2261"/>
    <w:rsid w:val="002D3AF4"/>
    <w:rsid w:val="002D3E5D"/>
    <w:rsid w:val="002D42BE"/>
    <w:rsid w:val="002D6879"/>
    <w:rsid w:val="002E4BCF"/>
    <w:rsid w:val="002E5DC6"/>
    <w:rsid w:val="002F04AE"/>
    <w:rsid w:val="002F099A"/>
    <w:rsid w:val="00302348"/>
    <w:rsid w:val="003037DD"/>
    <w:rsid w:val="003051B5"/>
    <w:rsid w:val="00306E97"/>
    <w:rsid w:val="003103D9"/>
    <w:rsid w:val="003108E5"/>
    <w:rsid w:val="00312C15"/>
    <w:rsid w:val="0031753D"/>
    <w:rsid w:val="003206CC"/>
    <w:rsid w:val="00331221"/>
    <w:rsid w:val="00331675"/>
    <w:rsid w:val="0033169A"/>
    <w:rsid w:val="0033220C"/>
    <w:rsid w:val="0033535F"/>
    <w:rsid w:val="0033666C"/>
    <w:rsid w:val="0034158A"/>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A0C1D"/>
    <w:rsid w:val="003A1480"/>
    <w:rsid w:val="003A1C52"/>
    <w:rsid w:val="003A38F0"/>
    <w:rsid w:val="003A54FD"/>
    <w:rsid w:val="003A561D"/>
    <w:rsid w:val="003A79D9"/>
    <w:rsid w:val="003A7E7A"/>
    <w:rsid w:val="003B44F3"/>
    <w:rsid w:val="003B45DF"/>
    <w:rsid w:val="003B519E"/>
    <w:rsid w:val="003B7695"/>
    <w:rsid w:val="003C1B8F"/>
    <w:rsid w:val="003C6360"/>
    <w:rsid w:val="003C6433"/>
    <w:rsid w:val="003C7FE0"/>
    <w:rsid w:val="003D1450"/>
    <w:rsid w:val="003D3571"/>
    <w:rsid w:val="003E1443"/>
    <w:rsid w:val="003E2A24"/>
    <w:rsid w:val="003E4196"/>
    <w:rsid w:val="003E4416"/>
    <w:rsid w:val="003E48FA"/>
    <w:rsid w:val="003E5389"/>
    <w:rsid w:val="003E5584"/>
    <w:rsid w:val="003E63F9"/>
    <w:rsid w:val="003E70C2"/>
    <w:rsid w:val="003F1AF4"/>
    <w:rsid w:val="003F4CD1"/>
    <w:rsid w:val="003F6966"/>
    <w:rsid w:val="003F6B51"/>
    <w:rsid w:val="00400553"/>
    <w:rsid w:val="0040299B"/>
    <w:rsid w:val="00406FD1"/>
    <w:rsid w:val="0041026D"/>
    <w:rsid w:val="004159F7"/>
    <w:rsid w:val="004167F2"/>
    <w:rsid w:val="00420D5B"/>
    <w:rsid w:val="00421C82"/>
    <w:rsid w:val="00421D68"/>
    <w:rsid w:val="00422A2C"/>
    <w:rsid w:val="004232D2"/>
    <w:rsid w:val="00424721"/>
    <w:rsid w:val="00424B99"/>
    <w:rsid w:val="004253D2"/>
    <w:rsid w:val="00430299"/>
    <w:rsid w:val="0043123F"/>
    <w:rsid w:val="004313D6"/>
    <w:rsid w:val="00432A96"/>
    <w:rsid w:val="00432E31"/>
    <w:rsid w:val="00434A98"/>
    <w:rsid w:val="00434AD0"/>
    <w:rsid w:val="00434E97"/>
    <w:rsid w:val="004354D2"/>
    <w:rsid w:val="00435BD7"/>
    <w:rsid w:val="00435FD4"/>
    <w:rsid w:val="00436487"/>
    <w:rsid w:val="00440379"/>
    <w:rsid w:val="00441ED9"/>
    <w:rsid w:val="00442FFF"/>
    <w:rsid w:val="00443261"/>
    <w:rsid w:val="00443D90"/>
    <w:rsid w:val="00446E39"/>
    <w:rsid w:val="00454327"/>
    <w:rsid w:val="004545EE"/>
    <w:rsid w:val="0045501A"/>
    <w:rsid w:val="0045502B"/>
    <w:rsid w:val="004575EF"/>
    <w:rsid w:val="00460D27"/>
    <w:rsid w:val="004677C0"/>
    <w:rsid w:val="0047503B"/>
    <w:rsid w:val="00477F04"/>
    <w:rsid w:val="00482340"/>
    <w:rsid w:val="00485469"/>
    <w:rsid w:val="0048724E"/>
    <w:rsid w:val="0049105C"/>
    <w:rsid w:val="004963E5"/>
    <w:rsid w:val="004A1867"/>
    <w:rsid w:val="004A22D2"/>
    <w:rsid w:val="004A2C52"/>
    <w:rsid w:val="004A6165"/>
    <w:rsid w:val="004B1D8C"/>
    <w:rsid w:val="004B223C"/>
    <w:rsid w:val="004B23E5"/>
    <w:rsid w:val="004B3455"/>
    <w:rsid w:val="004B5F99"/>
    <w:rsid w:val="004B667C"/>
    <w:rsid w:val="004D17F6"/>
    <w:rsid w:val="004D49D1"/>
    <w:rsid w:val="004D4A98"/>
    <w:rsid w:val="004D737C"/>
    <w:rsid w:val="004D7908"/>
    <w:rsid w:val="004E042B"/>
    <w:rsid w:val="004E5803"/>
    <w:rsid w:val="004E7317"/>
    <w:rsid w:val="004F262D"/>
    <w:rsid w:val="004F3291"/>
    <w:rsid w:val="004F4740"/>
    <w:rsid w:val="004F74CE"/>
    <w:rsid w:val="0050027D"/>
    <w:rsid w:val="0050219A"/>
    <w:rsid w:val="0050332A"/>
    <w:rsid w:val="00504EDB"/>
    <w:rsid w:val="00506689"/>
    <w:rsid w:val="00510D4C"/>
    <w:rsid w:val="0051449E"/>
    <w:rsid w:val="005154D3"/>
    <w:rsid w:val="0051594A"/>
    <w:rsid w:val="00523C7E"/>
    <w:rsid w:val="00527DF8"/>
    <w:rsid w:val="00530B29"/>
    <w:rsid w:val="0053378A"/>
    <w:rsid w:val="00535132"/>
    <w:rsid w:val="0054404A"/>
    <w:rsid w:val="00545CD8"/>
    <w:rsid w:val="005507D8"/>
    <w:rsid w:val="00550A74"/>
    <w:rsid w:val="005528B6"/>
    <w:rsid w:val="00557BA7"/>
    <w:rsid w:val="005608D0"/>
    <w:rsid w:val="00564289"/>
    <w:rsid w:val="00564BD8"/>
    <w:rsid w:val="005650AE"/>
    <w:rsid w:val="005701F1"/>
    <w:rsid w:val="005756E0"/>
    <w:rsid w:val="00577341"/>
    <w:rsid w:val="00582568"/>
    <w:rsid w:val="00583316"/>
    <w:rsid w:val="0058388D"/>
    <w:rsid w:val="0059025D"/>
    <w:rsid w:val="005903F3"/>
    <w:rsid w:val="00590C32"/>
    <w:rsid w:val="00595264"/>
    <w:rsid w:val="00595A6E"/>
    <w:rsid w:val="00596DF4"/>
    <w:rsid w:val="00596E41"/>
    <w:rsid w:val="005975EC"/>
    <w:rsid w:val="005977F6"/>
    <w:rsid w:val="005A124E"/>
    <w:rsid w:val="005A46B7"/>
    <w:rsid w:val="005A4805"/>
    <w:rsid w:val="005A5AE3"/>
    <w:rsid w:val="005A6173"/>
    <w:rsid w:val="005B012B"/>
    <w:rsid w:val="005B5606"/>
    <w:rsid w:val="005C433E"/>
    <w:rsid w:val="005C654D"/>
    <w:rsid w:val="005D09D6"/>
    <w:rsid w:val="005D3A95"/>
    <w:rsid w:val="005D4306"/>
    <w:rsid w:val="005D44F4"/>
    <w:rsid w:val="005D5F65"/>
    <w:rsid w:val="005D67B8"/>
    <w:rsid w:val="005E1E1C"/>
    <w:rsid w:val="005E4EFE"/>
    <w:rsid w:val="005E5DDA"/>
    <w:rsid w:val="005E7B4C"/>
    <w:rsid w:val="005E7C37"/>
    <w:rsid w:val="005F0E4B"/>
    <w:rsid w:val="005F23D9"/>
    <w:rsid w:val="005F372C"/>
    <w:rsid w:val="005F45DE"/>
    <w:rsid w:val="005F53D4"/>
    <w:rsid w:val="00602180"/>
    <w:rsid w:val="0060300E"/>
    <w:rsid w:val="00605B7A"/>
    <w:rsid w:val="006105F5"/>
    <w:rsid w:val="00610CAC"/>
    <w:rsid w:val="00611A6C"/>
    <w:rsid w:val="00613ADB"/>
    <w:rsid w:val="00613CAB"/>
    <w:rsid w:val="00615F41"/>
    <w:rsid w:val="00625942"/>
    <w:rsid w:val="00632AE3"/>
    <w:rsid w:val="00635652"/>
    <w:rsid w:val="0063786F"/>
    <w:rsid w:val="0063796A"/>
    <w:rsid w:val="00642E68"/>
    <w:rsid w:val="006434F3"/>
    <w:rsid w:val="00643D28"/>
    <w:rsid w:val="00645E28"/>
    <w:rsid w:val="0065016B"/>
    <w:rsid w:val="006523B9"/>
    <w:rsid w:val="0065311D"/>
    <w:rsid w:val="0065312A"/>
    <w:rsid w:val="00654AB3"/>
    <w:rsid w:val="00657EDE"/>
    <w:rsid w:val="0066090D"/>
    <w:rsid w:val="006667FB"/>
    <w:rsid w:val="00670BA8"/>
    <w:rsid w:val="0067178C"/>
    <w:rsid w:val="00672A6D"/>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8A9"/>
    <w:rsid w:val="006D1C63"/>
    <w:rsid w:val="006D24EA"/>
    <w:rsid w:val="006D500D"/>
    <w:rsid w:val="006D6DFB"/>
    <w:rsid w:val="006E01CD"/>
    <w:rsid w:val="006E43AD"/>
    <w:rsid w:val="006F4CA4"/>
    <w:rsid w:val="006F5AC9"/>
    <w:rsid w:val="006F6775"/>
    <w:rsid w:val="00702B67"/>
    <w:rsid w:val="007035DC"/>
    <w:rsid w:val="00710823"/>
    <w:rsid w:val="00711A5A"/>
    <w:rsid w:val="0071235B"/>
    <w:rsid w:val="00713B9A"/>
    <w:rsid w:val="00716ADE"/>
    <w:rsid w:val="007200AF"/>
    <w:rsid w:val="00720BB3"/>
    <w:rsid w:val="00722D60"/>
    <w:rsid w:val="007260C4"/>
    <w:rsid w:val="007322C0"/>
    <w:rsid w:val="007352CB"/>
    <w:rsid w:val="00736F29"/>
    <w:rsid w:val="007378E2"/>
    <w:rsid w:val="00751509"/>
    <w:rsid w:val="00754C3E"/>
    <w:rsid w:val="00755E20"/>
    <w:rsid w:val="007618D8"/>
    <w:rsid w:val="00761F55"/>
    <w:rsid w:val="00762366"/>
    <w:rsid w:val="00762CA7"/>
    <w:rsid w:val="007630D2"/>
    <w:rsid w:val="00764E83"/>
    <w:rsid w:val="0076798C"/>
    <w:rsid w:val="007708C4"/>
    <w:rsid w:val="00772D00"/>
    <w:rsid w:val="0077328F"/>
    <w:rsid w:val="007743EA"/>
    <w:rsid w:val="00777D51"/>
    <w:rsid w:val="0078051A"/>
    <w:rsid w:val="00784FC0"/>
    <w:rsid w:val="007856FE"/>
    <w:rsid w:val="00786E46"/>
    <w:rsid w:val="00787D2A"/>
    <w:rsid w:val="00791AA5"/>
    <w:rsid w:val="00792A9A"/>
    <w:rsid w:val="0079462F"/>
    <w:rsid w:val="007948D8"/>
    <w:rsid w:val="00795AA7"/>
    <w:rsid w:val="007972E7"/>
    <w:rsid w:val="007A1047"/>
    <w:rsid w:val="007A1B43"/>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7413"/>
    <w:rsid w:val="00801094"/>
    <w:rsid w:val="008044FD"/>
    <w:rsid w:val="00805A82"/>
    <w:rsid w:val="00812E49"/>
    <w:rsid w:val="0081562D"/>
    <w:rsid w:val="008215E1"/>
    <w:rsid w:val="00822670"/>
    <w:rsid w:val="00822AEF"/>
    <w:rsid w:val="00824564"/>
    <w:rsid w:val="00824794"/>
    <w:rsid w:val="008275AA"/>
    <w:rsid w:val="00833790"/>
    <w:rsid w:val="00837604"/>
    <w:rsid w:val="008421F4"/>
    <w:rsid w:val="00842320"/>
    <w:rsid w:val="0084371F"/>
    <w:rsid w:val="008541BE"/>
    <w:rsid w:val="008574DA"/>
    <w:rsid w:val="00863747"/>
    <w:rsid w:val="00867F90"/>
    <w:rsid w:val="008734C5"/>
    <w:rsid w:val="00874145"/>
    <w:rsid w:val="00874A69"/>
    <w:rsid w:val="00875237"/>
    <w:rsid w:val="00880F99"/>
    <w:rsid w:val="00883840"/>
    <w:rsid w:val="00885EE2"/>
    <w:rsid w:val="00893F07"/>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3A6"/>
    <w:rsid w:val="008C5E69"/>
    <w:rsid w:val="008D1B93"/>
    <w:rsid w:val="008D231E"/>
    <w:rsid w:val="008D3007"/>
    <w:rsid w:val="008D6714"/>
    <w:rsid w:val="008E5CA3"/>
    <w:rsid w:val="008F3BCC"/>
    <w:rsid w:val="0090023F"/>
    <w:rsid w:val="0090324F"/>
    <w:rsid w:val="00903DD5"/>
    <w:rsid w:val="00904A13"/>
    <w:rsid w:val="009104FF"/>
    <w:rsid w:val="00915A9F"/>
    <w:rsid w:val="00916E53"/>
    <w:rsid w:val="00922B65"/>
    <w:rsid w:val="00922CDA"/>
    <w:rsid w:val="00922E5F"/>
    <w:rsid w:val="009247D8"/>
    <w:rsid w:val="00924830"/>
    <w:rsid w:val="0093017E"/>
    <w:rsid w:val="00931C8A"/>
    <w:rsid w:val="00935FFE"/>
    <w:rsid w:val="00942D84"/>
    <w:rsid w:val="00942D88"/>
    <w:rsid w:val="00942F7B"/>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1A1B"/>
    <w:rsid w:val="009723BA"/>
    <w:rsid w:val="00973194"/>
    <w:rsid w:val="00974E05"/>
    <w:rsid w:val="00981E89"/>
    <w:rsid w:val="00982292"/>
    <w:rsid w:val="00983DDF"/>
    <w:rsid w:val="00984B11"/>
    <w:rsid w:val="00985EC8"/>
    <w:rsid w:val="00990252"/>
    <w:rsid w:val="009919C0"/>
    <w:rsid w:val="00991E98"/>
    <w:rsid w:val="009930F6"/>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16D0"/>
    <w:rsid w:val="009C1CD3"/>
    <w:rsid w:val="009C5A5A"/>
    <w:rsid w:val="009C65E1"/>
    <w:rsid w:val="009D151E"/>
    <w:rsid w:val="009D23EE"/>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50A96"/>
    <w:rsid w:val="00A50DBA"/>
    <w:rsid w:val="00A61C70"/>
    <w:rsid w:val="00A632AA"/>
    <w:rsid w:val="00A679E0"/>
    <w:rsid w:val="00A71227"/>
    <w:rsid w:val="00A71CB4"/>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70FB"/>
    <w:rsid w:val="00AD1C2D"/>
    <w:rsid w:val="00AD6587"/>
    <w:rsid w:val="00AE4B53"/>
    <w:rsid w:val="00AE70AF"/>
    <w:rsid w:val="00AF0671"/>
    <w:rsid w:val="00AF1C3D"/>
    <w:rsid w:val="00AF4F9A"/>
    <w:rsid w:val="00AF79BC"/>
    <w:rsid w:val="00B00F7E"/>
    <w:rsid w:val="00B047AE"/>
    <w:rsid w:val="00B05B28"/>
    <w:rsid w:val="00B061BB"/>
    <w:rsid w:val="00B07454"/>
    <w:rsid w:val="00B07EF7"/>
    <w:rsid w:val="00B10AA3"/>
    <w:rsid w:val="00B10EAE"/>
    <w:rsid w:val="00B13C44"/>
    <w:rsid w:val="00B15505"/>
    <w:rsid w:val="00B30927"/>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8195F"/>
    <w:rsid w:val="00B8206D"/>
    <w:rsid w:val="00B82FFE"/>
    <w:rsid w:val="00B84115"/>
    <w:rsid w:val="00B84B52"/>
    <w:rsid w:val="00B86086"/>
    <w:rsid w:val="00B86355"/>
    <w:rsid w:val="00B90273"/>
    <w:rsid w:val="00B945D8"/>
    <w:rsid w:val="00B95DDF"/>
    <w:rsid w:val="00B96F8C"/>
    <w:rsid w:val="00BA3014"/>
    <w:rsid w:val="00BA48A4"/>
    <w:rsid w:val="00BA52E8"/>
    <w:rsid w:val="00BA5410"/>
    <w:rsid w:val="00BA637C"/>
    <w:rsid w:val="00BA7D0F"/>
    <w:rsid w:val="00BB3F75"/>
    <w:rsid w:val="00BB5C49"/>
    <w:rsid w:val="00BB7F94"/>
    <w:rsid w:val="00BC60B0"/>
    <w:rsid w:val="00BC7B02"/>
    <w:rsid w:val="00BC7F1A"/>
    <w:rsid w:val="00BC7F4C"/>
    <w:rsid w:val="00BD02EE"/>
    <w:rsid w:val="00BD22C7"/>
    <w:rsid w:val="00BD36ED"/>
    <w:rsid w:val="00BD5FE3"/>
    <w:rsid w:val="00BE0B1A"/>
    <w:rsid w:val="00BE2110"/>
    <w:rsid w:val="00BE36CA"/>
    <w:rsid w:val="00BE7E40"/>
    <w:rsid w:val="00BF1B28"/>
    <w:rsid w:val="00BF3001"/>
    <w:rsid w:val="00BF5941"/>
    <w:rsid w:val="00BF59F6"/>
    <w:rsid w:val="00BF65CD"/>
    <w:rsid w:val="00BF75F0"/>
    <w:rsid w:val="00C01545"/>
    <w:rsid w:val="00C030F9"/>
    <w:rsid w:val="00C03EE0"/>
    <w:rsid w:val="00C060B5"/>
    <w:rsid w:val="00C06160"/>
    <w:rsid w:val="00C12407"/>
    <w:rsid w:val="00C13E97"/>
    <w:rsid w:val="00C16A30"/>
    <w:rsid w:val="00C2124E"/>
    <w:rsid w:val="00C21F8B"/>
    <w:rsid w:val="00C224BC"/>
    <w:rsid w:val="00C228C1"/>
    <w:rsid w:val="00C26241"/>
    <w:rsid w:val="00C27251"/>
    <w:rsid w:val="00C3173E"/>
    <w:rsid w:val="00C31A73"/>
    <w:rsid w:val="00C31EAD"/>
    <w:rsid w:val="00C32BA1"/>
    <w:rsid w:val="00C33F9E"/>
    <w:rsid w:val="00C34286"/>
    <w:rsid w:val="00C37535"/>
    <w:rsid w:val="00C375F0"/>
    <w:rsid w:val="00C4396A"/>
    <w:rsid w:val="00C45672"/>
    <w:rsid w:val="00C45EBF"/>
    <w:rsid w:val="00C46F79"/>
    <w:rsid w:val="00C50B1E"/>
    <w:rsid w:val="00C50BA4"/>
    <w:rsid w:val="00C519C0"/>
    <w:rsid w:val="00C54421"/>
    <w:rsid w:val="00C54FB6"/>
    <w:rsid w:val="00C55806"/>
    <w:rsid w:val="00C55C26"/>
    <w:rsid w:val="00C60254"/>
    <w:rsid w:val="00C60CAF"/>
    <w:rsid w:val="00C6178A"/>
    <w:rsid w:val="00C640EE"/>
    <w:rsid w:val="00C646E1"/>
    <w:rsid w:val="00C65AF0"/>
    <w:rsid w:val="00C66390"/>
    <w:rsid w:val="00C67DCE"/>
    <w:rsid w:val="00C70D83"/>
    <w:rsid w:val="00C71484"/>
    <w:rsid w:val="00C73784"/>
    <w:rsid w:val="00C74464"/>
    <w:rsid w:val="00C7488E"/>
    <w:rsid w:val="00C7546F"/>
    <w:rsid w:val="00C778F7"/>
    <w:rsid w:val="00C80073"/>
    <w:rsid w:val="00C81116"/>
    <w:rsid w:val="00C81ADB"/>
    <w:rsid w:val="00C81C2D"/>
    <w:rsid w:val="00C822E0"/>
    <w:rsid w:val="00C82413"/>
    <w:rsid w:val="00C90562"/>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40B1"/>
    <w:rsid w:val="00CB4C28"/>
    <w:rsid w:val="00CC57AE"/>
    <w:rsid w:val="00CC71FB"/>
    <w:rsid w:val="00CC7D0A"/>
    <w:rsid w:val="00CD177E"/>
    <w:rsid w:val="00CD2DFB"/>
    <w:rsid w:val="00CD65AE"/>
    <w:rsid w:val="00CE0A84"/>
    <w:rsid w:val="00CE17E6"/>
    <w:rsid w:val="00CE36FC"/>
    <w:rsid w:val="00CE64B1"/>
    <w:rsid w:val="00CF2016"/>
    <w:rsid w:val="00CF33A9"/>
    <w:rsid w:val="00CF34E4"/>
    <w:rsid w:val="00CF3787"/>
    <w:rsid w:val="00CF64F1"/>
    <w:rsid w:val="00CF7513"/>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3378"/>
    <w:rsid w:val="00D247BF"/>
    <w:rsid w:val="00D2624B"/>
    <w:rsid w:val="00D26DAF"/>
    <w:rsid w:val="00D309C8"/>
    <w:rsid w:val="00D32E6C"/>
    <w:rsid w:val="00D34791"/>
    <w:rsid w:val="00D34AC6"/>
    <w:rsid w:val="00D3731C"/>
    <w:rsid w:val="00D40DE3"/>
    <w:rsid w:val="00D41410"/>
    <w:rsid w:val="00D420E3"/>
    <w:rsid w:val="00D43D4F"/>
    <w:rsid w:val="00D44B75"/>
    <w:rsid w:val="00D44F43"/>
    <w:rsid w:val="00D44FE2"/>
    <w:rsid w:val="00D45098"/>
    <w:rsid w:val="00D453CF"/>
    <w:rsid w:val="00D45C09"/>
    <w:rsid w:val="00D45E3F"/>
    <w:rsid w:val="00D467C7"/>
    <w:rsid w:val="00D4738E"/>
    <w:rsid w:val="00D519C0"/>
    <w:rsid w:val="00D51F13"/>
    <w:rsid w:val="00D5324D"/>
    <w:rsid w:val="00D55667"/>
    <w:rsid w:val="00D55726"/>
    <w:rsid w:val="00D56C5C"/>
    <w:rsid w:val="00D571B7"/>
    <w:rsid w:val="00D57A31"/>
    <w:rsid w:val="00D57C9B"/>
    <w:rsid w:val="00D61704"/>
    <w:rsid w:val="00D62F90"/>
    <w:rsid w:val="00D65A73"/>
    <w:rsid w:val="00D678A6"/>
    <w:rsid w:val="00D702A6"/>
    <w:rsid w:val="00D70D3B"/>
    <w:rsid w:val="00D811E7"/>
    <w:rsid w:val="00D81304"/>
    <w:rsid w:val="00D86849"/>
    <w:rsid w:val="00D8692D"/>
    <w:rsid w:val="00D90977"/>
    <w:rsid w:val="00D92D70"/>
    <w:rsid w:val="00D9330B"/>
    <w:rsid w:val="00D9393B"/>
    <w:rsid w:val="00D93C45"/>
    <w:rsid w:val="00D97107"/>
    <w:rsid w:val="00DA4754"/>
    <w:rsid w:val="00DA5230"/>
    <w:rsid w:val="00DA69AD"/>
    <w:rsid w:val="00DB3338"/>
    <w:rsid w:val="00DB4942"/>
    <w:rsid w:val="00DB56EE"/>
    <w:rsid w:val="00DB71BD"/>
    <w:rsid w:val="00DC1532"/>
    <w:rsid w:val="00DC29F8"/>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22E5"/>
    <w:rsid w:val="00DE4313"/>
    <w:rsid w:val="00DE52BB"/>
    <w:rsid w:val="00DE7441"/>
    <w:rsid w:val="00DE75E5"/>
    <w:rsid w:val="00DF1A5C"/>
    <w:rsid w:val="00DF1EF3"/>
    <w:rsid w:val="00DF401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27A51"/>
    <w:rsid w:val="00E32CEF"/>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72EE9"/>
    <w:rsid w:val="00E74FE3"/>
    <w:rsid w:val="00E80BB3"/>
    <w:rsid w:val="00E81488"/>
    <w:rsid w:val="00E873F0"/>
    <w:rsid w:val="00E907BF"/>
    <w:rsid w:val="00E91F32"/>
    <w:rsid w:val="00E94E3D"/>
    <w:rsid w:val="00EA11BD"/>
    <w:rsid w:val="00EA26BD"/>
    <w:rsid w:val="00EB4718"/>
    <w:rsid w:val="00EB7A2D"/>
    <w:rsid w:val="00EC2393"/>
    <w:rsid w:val="00EC2B61"/>
    <w:rsid w:val="00EC5FCF"/>
    <w:rsid w:val="00EC639A"/>
    <w:rsid w:val="00ED065E"/>
    <w:rsid w:val="00ED1BC4"/>
    <w:rsid w:val="00ED1C13"/>
    <w:rsid w:val="00ED2253"/>
    <w:rsid w:val="00ED3AC7"/>
    <w:rsid w:val="00ED7CC4"/>
    <w:rsid w:val="00EE0983"/>
    <w:rsid w:val="00EE1D29"/>
    <w:rsid w:val="00EE204A"/>
    <w:rsid w:val="00EE4B75"/>
    <w:rsid w:val="00EE610D"/>
    <w:rsid w:val="00EE62FF"/>
    <w:rsid w:val="00EE70CA"/>
    <w:rsid w:val="00EF2155"/>
    <w:rsid w:val="00EF2FA2"/>
    <w:rsid w:val="00EF2FE0"/>
    <w:rsid w:val="00EF3F6E"/>
    <w:rsid w:val="00EF5254"/>
    <w:rsid w:val="00EF63D9"/>
    <w:rsid w:val="00EF7812"/>
    <w:rsid w:val="00F035DA"/>
    <w:rsid w:val="00F060CB"/>
    <w:rsid w:val="00F06353"/>
    <w:rsid w:val="00F07EF0"/>
    <w:rsid w:val="00F10200"/>
    <w:rsid w:val="00F102A3"/>
    <w:rsid w:val="00F1639E"/>
    <w:rsid w:val="00F27A47"/>
    <w:rsid w:val="00F30580"/>
    <w:rsid w:val="00F3094C"/>
    <w:rsid w:val="00F30C78"/>
    <w:rsid w:val="00F31E81"/>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7B46"/>
    <w:rsid w:val="00FB13F2"/>
    <w:rsid w:val="00FB6908"/>
    <w:rsid w:val="00FC19F7"/>
    <w:rsid w:val="00FC32D7"/>
    <w:rsid w:val="00FC3C12"/>
    <w:rsid w:val="00FC48CF"/>
    <w:rsid w:val="00FC495A"/>
    <w:rsid w:val="00FC52E0"/>
    <w:rsid w:val="00FC5A75"/>
    <w:rsid w:val="00FC6578"/>
    <w:rsid w:val="00FC66E6"/>
    <w:rsid w:val="00FD1E98"/>
    <w:rsid w:val="00FD47DE"/>
    <w:rsid w:val="00FD5C6E"/>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0745D38"/>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4828">
      <w:bodyDiv w:val="1"/>
      <w:marLeft w:val="0"/>
      <w:marRight w:val="0"/>
      <w:marTop w:val="0"/>
      <w:marBottom w:val="0"/>
      <w:divBdr>
        <w:top w:val="none" w:sz="0" w:space="0" w:color="auto"/>
        <w:left w:val="none" w:sz="0" w:space="0" w:color="auto"/>
        <w:bottom w:val="none" w:sz="0" w:space="0" w:color="auto"/>
        <w:right w:val="none" w:sz="0" w:space="0" w:color="auto"/>
      </w:divBdr>
    </w:div>
    <w:div w:id="164519278">
      <w:bodyDiv w:val="1"/>
      <w:marLeft w:val="0"/>
      <w:marRight w:val="0"/>
      <w:marTop w:val="0"/>
      <w:marBottom w:val="0"/>
      <w:divBdr>
        <w:top w:val="none" w:sz="0" w:space="0" w:color="auto"/>
        <w:left w:val="none" w:sz="0" w:space="0" w:color="auto"/>
        <w:bottom w:val="none" w:sz="0" w:space="0" w:color="auto"/>
        <w:right w:val="none" w:sz="0" w:space="0" w:color="auto"/>
      </w:divBdr>
    </w:div>
    <w:div w:id="296573370">
      <w:bodyDiv w:val="1"/>
      <w:marLeft w:val="0"/>
      <w:marRight w:val="0"/>
      <w:marTop w:val="0"/>
      <w:marBottom w:val="0"/>
      <w:divBdr>
        <w:top w:val="none" w:sz="0" w:space="0" w:color="auto"/>
        <w:left w:val="none" w:sz="0" w:space="0" w:color="auto"/>
        <w:bottom w:val="none" w:sz="0" w:space="0" w:color="auto"/>
        <w:right w:val="none" w:sz="0" w:space="0" w:color="auto"/>
      </w:divBdr>
    </w:div>
    <w:div w:id="333188908">
      <w:bodyDiv w:val="1"/>
      <w:marLeft w:val="0"/>
      <w:marRight w:val="0"/>
      <w:marTop w:val="0"/>
      <w:marBottom w:val="0"/>
      <w:divBdr>
        <w:top w:val="none" w:sz="0" w:space="0" w:color="auto"/>
        <w:left w:val="none" w:sz="0" w:space="0" w:color="auto"/>
        <w:bottom w:val="none" w:sz="0" w:space="0" w:color="auto"/>
        <w:right w:val="none" w:sz="0" w:space="0" w:color="auto"/>
      </w:divBdr>
    </w:div>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427430168">
      <w:bodyDiv w:val="1"/>
      <w:marLeft w:val="0"/>
      <w:marRight w:val="0"/>
      <w:marTop w:val="0"/>
      <w:marBottom w:val="0"/>
      <w:divBdr>
        <w:top w:val="none" w:sz="0" w:space="0" w:color="auto"/>
        <w:left w:val="none" w:sz="0" w:space="0" w:color="auto"/>
        <w:bottom w:val="none" w:sz="0" w:space="0" w:color="auto"/>
        <w:right w:val="none" w:sz="0" w:space="0" w:color="auto"/>
      </w:divBdr>
    </w:div>
    <w:div w:id="473184336">
      <w:bodyDiv w:val="1"/>
      <w:marLeft w:val="0"/>
      <w:marRight w:val="0"/>
      <w:marTop w:val="0"/>
      <w:marBottom w:val="0"/>
      <w:divBdr>
        <w:top w:val="none" w:sz="0" w:space="0" w:color="auto"/>
        <w:left w:val="none" w:sz="0" w:space="0" w:color="auto"/>
        <w:bottom w:val="none" w:sz="0" w:space="0" w:color="auto"/>
        <w:right w:val="none" w:sz="0" w:space="0" w:color="auto"/>
      </w:divBdr>
    </w:div>
    <w:div w:id="529534457">
      <w:bodyDiv w:val="1"/>
      <w:marLeft w:val="0"/>
      <w:marRight w:val="0"/>
      <w:marTop w:val="0"/>
      <w:marBottom w:val="0"/>
      <w:divBdr>
        <w:top w:val="none" w:sz="0" w:space="0" w:color="auto"/>
        <w:left w:val="none" w:sz="0" w:space="0" w:color="auto"/>
        <w:bottom w:val="none" w:sz="0" w:space="0" w:color="auto"/>
        <w:right w:val="none" w:sz="0" w:space="0" w:color="auto"/>
      </w:divBdr>
    </w:div>
    <w:div w:id="675376642">
      <w:bodyDiv w:val="1"/>
      <w:marLeft w:val="0"/>
      <w:marRight w:val="0"/>
      <w:marTop w:val="0"/>
      <w:marBottom w:val="0"/>
      <w:divBdr>
        <w:top w:val="none" w:sz="0" w:space="0" w:color="auto"/>
        <w:left w:val="none" w:sz="0" w:space="0" w:color="auto"/>
        <w:bottom w:val="none" w:sz="0" w:space="0" w:color="auto"/>
        <w:right w:val="none" w:sz="0" w:space="0" w:color="auto"/>
      </w:divBdr>
    </w:div>
    <w:div w:id="697971200">
      <w:bodyDiv w:val="1"/>
      <w:marLeft w:val="0"/>
      <w:marRight w:val="0"/>
      <w:marTop w:val="0"/>
      <w:marBottom w:val="0"/>
      <w:divBdr>
        <w:top w:val="none" w:sz="0" w:space="0" w:color="auto"/>
        <w:left w:val="none" w:sz="0" w:space="0" w:color="auto"/>
        <w:bottom w:val="none" w:sz="0" w:space="0" w:color="auto"/>
        <w:right w:val="none" w:sz="0" w:space="0" w:color="auto"/>
      </w:divBdr>
    </w:div>
    <w:div w:id="708531531">
      <w:bodyDiv w:val="1"/>
      <w:marLeft w:val="0"/>
      <w:marRight w:val="0"/>
      <w:marTop w:val="0"/>
      <w:marBottom w:val="0"/>
      <w:divBdr>
        <w:top w:val="none" w:sz="0" w:space="0" w:color="auto"/>
        <w:left w:val="none" w:sz="0" w:space="0" w:color="auto"/>
        <w:bottom w:val="none" w:sz="0" w:space="0" w:color="auto"/>
        <w:right w:val="none" w:sz="0" w:space="0" w:color="auto"/>
      </w:divBdr>
    </w:div>
    <w:div w:id="793869403">
      <w:bodyDiv w:val="1"/>
      <w:marLeft w:val="0"/>
      <w:marRight w:val="0"/>
      <w:marTop w:val="0"/>
      <w:marBottom w:val="0"/>
      <w:divBdr>
        <w:top w:val="none" w:sz="0" w:space="0" w:color="auto"/>
        <w:left w:val="none" w:sz="0" w:space="0" w:color="auto"/>
        <w:bottom w:val="none" w:sz="0" w:space="0" w:color="auto"/>
        <w:right w:val="none" w:sz="0" w:space="0" w:color="auto"/>
      </w:divBdr>
    </w:div>
    <w:div w:id="797455258">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1041705250">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495494475">
      <w:bodyDiv w:val="1"/>
      <w:marLeft w:val="0"/>
      <w:marRight w:val="0"/>
      <w:marTop w:val="0"/>
      <w:marBottom w:val="0"/>
      <w:divBdr>
        <w:top w:val="none" w:sz="0" w:space="0" w:color="auto"/>
        <w:left w:val="none" w:sz="0" w:space="0" w:color="auto"/>
        <w:bottom w:val="none" w:sz="0" w:space="0" w:color="auto"/>
        <w:right w:val="none" w:sz="0" w:space="0" w:color="auto"/>
      </w:divBdr>
    </w:div>
    <w:div w:id="1509709793">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579902224">
      <w:bodyDiv w:val="1"/>
      <w:marLeft w:val="0"/>
      <w:marRight w:val="0"/>
      <w:marTop w:val="0"/>
      <w:marBottom w:val="0"/>
      <w:divBdr>
        <w:top w:val="none" w:sz="0" w:space="0" w:color="auto"/>
        <w:left w:val="none" w:sz="0" w:space="0" w:color="auto"/>
        <w:bottom w:val="none" w:sz="0" w:space="0" w:color="auto"/>
        <w:right w:val="none" w:sz="0" w:space="0" w:color="auto"/>
      </w:divBdr>
    </w:div>
    <w:div w:id="1818572568">
      <w:bodyDiv w:val="1"/>
      <w:marLeft w:val="0"/>
      <w:marRight w:val="0"/>
      <w:marTop w:val="0"/>
      <w:marBottom w:val="0"/>
      <w:divBdr>
        <w:top w:val="none" w:sz="0" w:space="0" w:color="auto"/>
        <w:left w:val="none" w:sz="0" w:space="0" w:color="auto"/>
        <w:bottom w:val="none" w:sz="0" w:space="0" w:color="auto"/>
        <w:right w:val="none" w:sz="0" w:space="0" w:color="auto"/>
      </w:divBdr>
    </w:div>
    <w:div w:id="19022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D11A7-6D6A-4AF3-8E26-ED2FBF89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12</Pages>
  <Words>4598</Words>
  <Characters>26569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Sabrina Silva Vieira</cp:lastModifiedBy>
  <cp:revision>55</cp:revision>
  <cp:lastPrinted>2017-05-18T12:35:00Z</cp:lastPrinted>
  <dcterms:created xsi:type="dcterms:W3CDTF">2020-02-18T19:12:00Z</dcterms:created>
  <dcterms:modified xsi:type="dcterms:W3CDTF">2021-02-17T20:51:00Z</dcterms:modified>
</cp:coreProperties>
</file>