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C76871" w:rsidRDefault="00C76871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C309C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A06416">
        <w:rPr>
          <w:b/>
        </w:rPr>
        <w:t>02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  <w:r w:rsidR="00266298">
        <w:rPr>
          <w:b/>
        </w:rPr>
        <w:t xml:space="preserve"> </w:t>
      </w:r>
    </w:p>
    <w:p w:rsidR="00EA6FFA" w:rsidRDefault="00EA6FFA" w:rsidP="00C309CF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3701B4" w:rsidRPr="00545BE2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 w:rsidRPr="0096790A">
        <w:rPr>
          <w:b/>
          <w:lang w:val="pt-PT"/>
        </w:rPr>
        <w:t>R</w:t>
      </w:r>
      <w:r w:rsidR="00695996" w:rsidRPr="0096790A">
        <w:rPr>
          <w:b/>
          <w:lang w:val="pt-PT"/>
        </w:rPr>
        <w:t>ua</w:t>
      </w:r>
      <w:r w:rsidR="0096790A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>13</w:t>
      </w:r>
      <w:r w:rsidR="00695996" w:rsidRPr="0096790A">
        <w:rPr>
          <w:b/>
          <w:lang w:val="pt-PT"/>
        </w:rPr>
        <w:t>,</w:t>
      </w:r>
      <w:r w:rsidR="002C6FB4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 xml:space="preserve">S/Nº, Vila Santa Terezinha </w:t>
      </w:r>
      <w:r w:rsidR="002B5BDE" w:rsidRPr="0096790A">
        <w:rPr>
          <w:b/>
          <w:lang w:val="pt-PT"/>
        </w:rPr>
        <w:t xml:space="preserve">, </w:t>
      </w:r>
      <w:r w:rsidR="00695996" w:rsidRPr="0096790A">
        <w:rPr>
          <w:b/>
          <w:lang w:val="pt-PT"/>
        </w:rPr>
        <w:t>Inhumas – GO</w:t>
      </w:r>
      <w:r w:rsidR="00695996">
        <w:rPr>
          <w:lang w:val="pt-PT"/>
        </w:rPr>
        <w:t xml:space="preserve">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A06416">
        <w:rPr>
          <w:b/>
          <w:lang w:val="pt-PT"/>
        </w:rPr>
        <w:t>05/05/2014 a 27/06/2014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DE53C2">
        <w:rPr>
          <w:b/>
          <w:lang w:val="pt-PT"/>
        </w:rPr>
        <w:t>2</w:t>
      </w:r>
      <w:r w:rsidR="00EA6FFA">
        <w:rPr>
          <w:b/>
          <w:lang w:val="pt-PT"/>
        </w:rPr>
        <w:t>7</w:t>
      </w:r>
      <w:r w:rsidR="00A06416">
        <w:rPr>
          <w:b/>
          <w:lang w:val="pt-PT"/>
        </w:rPr>
        <w:t>/05/2014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lastRenderedPageBreak/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493C64">
        <w:rPr>
          <w:b/>
          <w:lang w:val="pt-PT"/>
        </w:rPr>
        <w:t>Rua 13, S/Nº,</w:t>
      </w:r>
      <w:r w:rsidR="0096790A">
        <w:rPr>
          <w:b/>
          <w:lang w:val="pt-PT"/>
        </w:rPr>
        <w:t xml:space="preserve">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A06416">
        <w:rPr>
          <w:b/>
          <w:snapToGrid w:val="0"/>
          <w:color w:val="000000"/>
        </w:rPr>
        <w:t>05/05/2014 a 27/06</w:t>
      </w:r>
      <w:r w:rsidR="00080003">
        <w:rPr>
          <w:b/>
          <w:snapToGrid w:val="0"/>
          <w:color w:val="000000"/>
        </w:rPr>
        <w:t>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>
        <w:lastRenderedPageBreak/>
        <w:t xml:space="preserve">nº </w:t>
      </w:r>
      <w:r w:rsidR="00CD108C" w:rsidRPr="0096790A">
        <w:rPr>
          <w:b/>
        </w:rPr>
        <w:t>002</w:t>
      </w:r>
      <w:r w:rsidR="00185D3A" w:rsidRPr="0096790A">
        <w:rPr>
          <w:b/>
        </w:rPr>
        <w:t>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635FA6">
        <w:rPr>
          <w:b/>
        </w:rPr>
        <w:t>02</w:t>
      </w:r>
      <w:r w:rsidR="004045BC" w:rsidRPr="00CD0AB4">
        <w:rPr>
          <w:b/>
        </w:rPr>
        <w:t>)</w:t>
      </w:r>
      <w:r w:rsidR="00635FA6">
        <w:rPr>
          <w:b/>
        </w:rPr>
        <w:t xml:space="preserve"> dois 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A06416">
        <w:rPr>
          <w:b/>
          <w:snapToGrid w:val="0"/>
          <w:color w:val="000000"/>
        </w:rPr>
        <w:t xml:space="preserve">05/05/2014 a </w:t>
      </w:r>
      <w:r w:rsidR="00635FA6">
        <w:rPr>
          <w:b/>
          <w:snapToGrid w:val="0"/>
          <w:color w:val="000000"/>
        </w:rPr>
        <w:t>27/06/2014.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 xml:space="preserve">rão de acordo com as cotações </w:t>
      </w:r>
      <w:r w:rsidR="008E549E">
        <w:lastRenderedPageBreak/>
        <w:t>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A06416">
        <w:rPr>
          <w:b/>
          <w:snapToGrid w:val="0"/>
          <w:color w:val="000000"/>
        </w:rPr>
        <w:t>05/05/2014 a 27/06/2014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DE53C2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lastRenderedPageBreak/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Kg</w:t>
            </w:r>
          </w:p>
        </w:tc>
      </w:tr>
    </w:tbl>
    <w:p w:rsidR="00391AA8" w:rsidRDefault="00391AA8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Alface(molho industrial)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113FF5" w:rsidRPr="00CD0AB4" w:rsidRDefault="0073637D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DE53C2">
        <w:rPr>
          <w:b/>
          <w:bCs/>
        </w:rPr>
        <w:t>14</w:t>
      </w:r>
      <w:r w:rsidR="0096790A">
        <w:rPr>
          <w:b/>
          <w:bCs/>
        </w:rPr>
        <w:t xml:space="preserve"> DE MAIO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DE53C2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06416">
        <w:rPr>
          <w:b/>
          <w:bCs/>
        </w:rPr>
        <w:t>l da Chamada Pública nº 002/2014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lastRenderedPageBreak/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39" w:rsidRDefault="007B4739">
      <w:r>
        <w:separator/>
      </w:r>
    </w:p>
  </w:endnote>
  <w:endnote w:type="continuationSeparator" w:id="0">
    <w:p w:rsidR="007B4739" w:rsidRDefault="007B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Rodap"/>
      <w:ind w:right="360"/>
    </w:pPr>
  </w:p>
  <w:p w:rsidR="00A06416" w:rsidRDefault="00A064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6F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A06416" w:rsidRPr="00A753A8" w:rsidRDefault="00A06416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Pr="00391502" w:rsidRDefault="0091097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06416" w:rsidRPr="0039150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06416">
      <w:rPr>
        <w:noProof/>
        <w:sz w:val="14"/>
      </w:rPr>
      <w:t>C:\Documents and Settings\Administrador\Meus documentos\CHAMADA PUBLICA 2014 J.P.V.docx</w:t>
    </w:r>
    <w:r>
      <w:rPr>
        <w:sz w:val="14"/>
      </w:rPr>
      <w:fldChar w:fldCharType="end"/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39" w:rsidRDefault="007B4739">
      <w:r>
        <w:separator/>
      </w:r>
    </w:p>
  </w:footnote>
  <w:footnote w:type="continuationSeparator" w:id="0">
    <w:p w:rsidR="007B4739" w:rsidRDefault="007B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A06416">
    <w:pPr>
      <w:pStyle w:val="Cabealho"/>
      <w:framePr w:wrap="around" w:vAnchor="text" w:hAnchor="margin" w:xAlign="right" w:y="1"/>
      <w:rPr>
        <w:rStyle w:val="Nmerodepgina"/>
      </w:rPr>
    </w:pPr>
  </w:p>
  <w:p w:rsidR="00DE53C2" w:rsidRDefault="00DE53C2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889635</wp:posOffset>
          </wp:positionH>
          <wp:positionV relativeFrom="paragraph">
            <wp:posOffset>-133350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53C2" w:rsidRDefault="00DE53C2" w:rsidP="00C76871">
    <w:pPr>
      <w:spacing w:line="360" w:lineRule="auto"/>
      <w:rPr>
        <w:noProof/>
        <w:sz w:val="20"/>
        <w:szCs w:val="20"/>
      </w:rPr>
    </w:pPr>
  </w:p>
  <w:p w:rsidR="00A06416" w:rsidRPr="00C76871" w:rsidRDefault="00A06416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Legenda"/>
      <w:rPr>
        <w:b w:val="0"/>
        <w:sz w:val="28"/>
      </w:rPr>
    </w:pPr>
    <w:r w:rsidRPr="0091097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62803286" r:id="rId2"/>
      </w:pict>
    </w:r>
  </w:p>
  <w:p w:rsidR="00A06416" w:rsidRDefault="00A06416">
    <w:pPr>
      <w:pStyle w:val="Legenda"/>
      <w:rPr>
        <w:b w:val="0"/>
        <w:sz w:val="16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  <w:r>
      <w:rPr>
        <w:b w:val="0"/>
      </w:rPr>
      <w:t>ESTADO DE GOIÁS</w:t>
    </w:r>
  </w:p>
  <w:p w:rsidR="00A06416" w:rsidRDefault="00A06416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06416" w:rsidRDefault="00A06416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395D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43A8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7707F"/>
    <w:rsid w:val="00381C7C"/>
    <w:rsid w:val="0038227F"/>
    <w:rsid w:val="0038240E"/>
    <w:rsid w:val="003859DD"/>
    <w:rsid w:val="0038715F"/>
    <w:rsid w:val="00391502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6C8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16B7B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35FA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BD7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B4739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2FB1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10973"/>
    <w:rsid w:val="00912C20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6790A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16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138D"/>
    <w:rsid w:val="00BF272E"/>
    <w:rsid w:val="00BF4537"/>
    <w:rsid w:val="00BF6D5D"/>
    <w:rsid w:val="00C07565"/>
    <w:rsid w:val="00C0763A"/>
    <w:rsid w:val="00C1139B"/>
    <w:rsid w:val="00C114C9"/>
    <w:rsid w:val="00C13451"/>
    <w:rsid w:val="00C13475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D108C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81D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53C2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A6FFA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EBBF-8DD9-4A5C-B9DF-C7BFF13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3150</Words>
  <Characters>17014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2014-04-23T16:45:00Z</cp:lastPrinted>
  <dcterms:created xsi:type="dcterms:W3CDTF">2014-05-28T20:28:00Z</dcterms:created>
  <dcterms:modified xsi:type="dcterms:W3CDTF">2014-05-28T20:28:00Z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